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78" w:rsidRDefault="001D24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162175" cy="857250"/>
            <wp:effectExtent l="19050" t="0" r="9525" b="0"/>
            <wp:docPr id="1026" name="Imagen 1" descr="ed0b0c31c412f7d67bd39119503bb394_X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162175" cy="857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178" w:rsidRDefault="008E41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4178" w:rsidRDefault="001D24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CONVOCATORIA</w:t>
      </w:r>
    </w:p>
    <w:p w:rsidR="008E4178" w:rsidRDefault="001D24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XIII JORNADA CIENTÍFICA ESTUDIANTIL DE HISTORIA REGIONAL Y LOCAL“ENRIQUE EDO Y LLOP” </w:t>
      </w:r>
    </w:p>
    <w:p w:rsidR="008E4178" w:rsidRDefault="008E41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4178" w:rsidRDefault="001D24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25 de marzo de 2025</w:t>
      </w:r>
    </w:p>
    <w:p w:rsidR="008E4178" w:rsidRDefault="008E41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4178" w:rsidRDefault="001D24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Coauspician: UNHIC, UNEAC, Archivo Histórico Provincial, Sociedad Cultural José Martí, Oficina del Conservador de la Ciudad de </w:t>
      </w:r>
      <w:r>
        <w:rPr>
          <w:rFonts w:ascii="Arial" w:hAnsi="Arial" w:cs="Arial"/>
          <w:b/>
          <w:sz w:val="20"/>
          <w:szCs w:val="20"/>
        </w:rPr>
        <w:t>Cienfuegos, Centro Provincial de Patrimonio.</w:t>
      </w:r>
    </w:p>
    <w:p w:rsidR="008E4178" w:rsidRDefault="008E41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E417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parte de la necesidad de ampliar los espacios de debate de los estudiantes sobre la actualidad de las Ciencias Sociales y los retos constantes que asume la Historia, convocamos a la </w:t>
      </w:r>
      <w:r>
        <w:rPr>
          <w:rFonts w:ascii="Arial" w:hAnsi="Arial" w:cs="Arial"/>
          <w:b/>
          <w:sz w:val="24"/>
          <w:szCs w:val="24"/>
        </w:rPr>
        <w:t xml:space="preserve"> XIII JORNADA CIENTIFIC</w:t>
      </w:r>
      <w:r>
        <w:rPr>
          <w:rFonts w:ascii="Arial" w:hAnsi="Arial" w:cs="Arial"/>
          <w:b/>
          <w:sz w:val="24"/>
          <w:szCs w:val="24"/>
        </w:rPr>
        <w:t xml:space="preserve">A ESTUDIANTIL de Historia Regional y Local “Enrique Edo y Llops” In Memoriam, </w:t>
      </w:r>
      <w:r>
        <w:rPr>
          <w:rFonts w:ascii="Arial" w:hAnsi="Arial" w:cs="Arial"/>
          <w:sz w:val="24"/>
          <w:szCs w:val="24"/>
        </w:rPr>
        <w:t>con la intención de convertirlo anualmente en un espacio central de socialización de las investigaciones desarrollada por los Grupos Científicos Estudiantiles desde cada una de l</w:t>
      </w:r>
      <w:r>
        <w:rPr>
          <w:rFonts w:ascii="Arial" w:hAnsi="Arial" w:cs="Arial"/>
          <w:sz w:val="24"/>
          <w:szCs w:val="24"/>
        </w:rPr>
        <w:t>as líneas de  investigación que promueve el  Departamento de Historia de la Universidad de Cienfuegos.</w:t>
      </w:r>
    </w:p>
    <w:p w:rsidR="008E417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4E8">
        <w:rPr>
          <w:rFonts w:ascii="Arial" w:hAnsi="Arial" w:cs="Arial"/>
          <w:sz w:val="24"/>
          <w:szCs w:val="24"/>
        </w:rPr>
        <w:t>Objetivos propuestos:</w:t>
      </w:r>
    </w:p>
    <w:p w:rsidR="008E417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1ero:</w:t>
      </w:r>
      <w:r>
        <w:rPr>
          <w:rFonts w:ascii="Arial" w:hAnsi="Arial" w:cs="Arial"/>
          <w:sz w:val="24"/>
          <w:szCs w:val="24"/>
        </w:rPr>
        <w:t xml:space="preserve"> Debatir sobre la importancia de los fundamentos teóricos y metodológicos en las investigaciones históricas.</w:t>
      </w:r>
    </w:p>
    <w:p w:rsidR="008E417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2do:</w:t>
      </w:r>
      <w:r>
        <w:rPr>
          <w:rFonts w:ascii="Arial" w:hAnsi="Arial" w:cs="Arial"/>
          <w:sz w:val="24"/>
          <w:szCs w:val="24"/>
        </w:rPr>
        <w:t xml:space="preserve"> Analizar los</w:t>
      </w:r>
      <w:r>
        <w:rPr>
          <w:rFonts w:ascii="Arial" w:hAnsi="Arial" w:cs="Arial"/>
          <w:sz w:val="24"/>
          <w:szCs w:val="24"/>
        </w:rPr>
        <w:t xml:space="preserve"> resultados obtenidos en las investigaciones regionales y locales fruto del  trabajo científico –estudiantil.</w:t>
      </w:r>
    </w:p>
    <w:p w:rsidR="008E417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3ero:</w:t>
      </w:r>
      <w:r>
        <w:rPr>
          <w:rFonts w:ascii="Arial" w:hAnsi="Arial" w:cs="Arial"/>
          <w:sz w:val="24"/>
          <w:szCs w:val="24"/>
        </w:rPr>
        <w:t xml:space="preserve"> Dialogar sobre la necesidad, pertinencia e importancia de ampliar las investigaciones históricas de corte regional y local hacia nuevos camp</w:t>
      </w:r>
      <w:r>
        <w:rPr>
          <w:rFonts w:ascii="Arial" w:hAnsi="Arial" w:cs="Arial"/>
          <w:sz w:val="24"/>
          <w:szCs w:val="24"/>
        </w:rPr>
        <w:t>os de estudio, haciendo énfasis en los enfoques inter y multidisciplinares de las Ciencias Sociales.</w:t>
      </w:r>
    </w:p>
    <w:p w:rsidR="001D24E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417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Principales líneas temáticas:</w:t>
      </w:r>
    </w:p>
    <w:p w:rsidR="008E4178" w:rsidRDefault="001D24E8">
      <w:pPr>
        <w:pStyle w:val="Prrafodelista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Ocupación del espacio. Tenencia y reparto de la tierra. Fuerza de trabajo</w:t>
      </w:r>
    </w:p>
    <w:p w:rsidR="008E4178" w:rsidRDefault="001D24E8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D24E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omercio, banca y sistemas financieros. Demografía:</w:t>
      </w:r>
      <w:r>
        <w:rPr>
          <w:rFonts w:ascii="Arial" w:hAnsi="Arial" w:cs="Arial"/>
          <w:sz w:val="24"/>
          <w:szCs w:val="24"/>
        </w:rPr>
        <w:t xml:space="preserve"> Población urbana y rural, </w:t>
      </w:r>
      <w:r w:rsidRPr="001D24E8">
        <w:rPr>
          <w:rFonts w:ascii="Arial" w:hAnsi="Arial" w:cs="Arial"/>
          <w:sz w:val="24"/>
          <w:szCs w:val="24"/>
        </w:rPr>
        <w:t>mo</w:t>
      </w:r>
      <w:r>
        <w:rPr>
          <w:rFonts w:ascii="Arial" w:hAnsi="Arial" w:cs="Arial"/>
          <w:sz w:val="24"/>
          <w:szCs w:val="24"/>
        </w:rPr>
        <w:t>dernidad y modernización industrial y comercial. Asociaciones económicas. Pensamiento económico.</w:t>
      </w:r>
    </w:p>
    <w:p w:rsidR="008E4178" w:rsidRDefault="001D24E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Gobierno y gobernabilidad, </w:t>
      </w:r>
      <w:r w:rsidRPr="001D24E8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rupos de presión y clientelas políticas, </w:t>
      </w:r>
      <w:r w:rsidRPr="001D24E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artidos políticos, </w:t>
      </w:r>
      <w:r w:rsidRPr="001D24E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onflictos políticos, </w:t>
      </w:r>
      <w:r w:rsidRPr="001D24E8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 xml:space="preserve">ensa y política, </w:t>
      </w:r>
      <w:r w:rsidRPr="001D24E8"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nsamiento político.</w:t>
      </w:r>
    </w:p>
    <w:p w:rsidR="008E4178" w:rsidRDefault="001D24E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Clases, élites, grupos y capas populares. Conflictos sociales, </w:t>
      </w:r>
      <w:r w:rsidRPr="001D24E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ovilidad social en</w:t>
      </w:r>
      <w:r>
        <w:rPr>
          <w:rFonts w:ascii="Arial" w:hAnsi="Arial" w:cs="Arial"/>
          <w:sz w:val="24"/>
          <w:szCs w:val="24"/>
        </w:rPr>
        <w:t xml:space="preserve"> espacios rurales</w:t>
      </w:r>
      <w:r>
        <w:rPr>
          <w:rFonts w:ascii="Arial" w:hAnsi="Arial" w:cs="Arial"/>
          <w:sz w:val="24"/>
          <w:szCs w:val="24"/>
        </w:rPr>
        <w:t xml:space="preserve"> y urbanos, </w:t>
      </w:r>
      <w:r w:rsidRPr="001D24E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egritud y racialidad, </w:t>
      </w:r>
      <w:r w:rsidRPr="001D24E8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ligión y sociedad</w:t>
      </w:r>
      <w:r w:rsidRPr="001D24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Historia de familia, redes familiares, parentesco.</w:t>
      </w:r>
    </w:p>
    <w:p w:rsidR="008E4178" w:rsidRDefault="001D24E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Cultura e identida</w:t>
      </w:r>
      <w:r w:rsidRPr="001D24E8">
        <w:rPr>
          <w:rFonts w:ascii="Arial" w:hAnsi="Arial" w:cs="Arial"/>
          <w:sz w:val="24"/>
          <w:szCs w:val="24"/>
        </w:rPr>
        <w:t>d, polít</w:t>
      </w:r>
      <w:r w:rsidRPr="001D24E8">
        <w:rPr>
          <w:rFonts w:ascii="Arial" w:hAnsi="Arial" w:cs="Arial"/>
          <w:sz w:val="24"/>
          <w:szCs w:val="24"/>
        </w:rPr>
        <w:t>icas</w:t>
      </w:r>
      <w:r>
        <w:rPr>
          <w:rFonts w:ascii="Arial" w:hAnsi="Arial" w:cs="Arial"/>
          <w:sz w:val="24"/>
          <w:szCs w:val="24"/>
        </w:rPr>
        <w:t xml:space="preserve"> culturales, </w:t>
      </w:r>
      <w:r w:rsidRPr="001D24E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ultura de la resistencia</w:t>
      </w:r>
      <w:r w:rsidRPr="001D24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Patrimonio </w:t>
      </w:r>
      <w:r w:rsidRPr="001D24E8">
        <w:rPr>
          <w:rFonts w:ascii="Arial" w:hAnsi="Arial" w:cs="Arial"/>
          <w:sz w:val="24"/>
          <w:szCs w:val="24"/>
        </w:rPr>
        <w:t>hi</w:t>
      </w:r>
      <w:r>
        <w:rPr>
          <w:rFonts w:ascii="Arial" w:hAnsi="Arial" w:cs="Arial"/>
          <w:sz w:val="24"/>
          <w:szCs w:val="24"/>
        </w:rPr>
        <w:t xml:space="preserve">stórico </w:t>
      </w:r>
      <w:r w:rsidRPr="001D24E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ultural, </w:t>
      </w:r>
      <w:r w:rsidRPr="001D24E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sociaciones e instituciones culturales, manifestaciones y</w:t>
      </w:r>
      <w:r>
        <w:rPr>
          <w:rFonts w:ascii="Arial" w:hAnsi="Arial" w:cs="Arial"/>
          <w:sz w:val="24"/>
          <w:szCs w:val="24"/>
        </w:rPr>
        <w:t xml:space="preserve"> prácticas culturales, personalidades de la cultura. El deporte como manifestación de  la cultura y la identidad nacional.</w:t>
      </w:r>
    </w:p>
    <w:p w:rsidR="008E4178" w:rsidRDefault="001D24E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Historia de la educación</w:t>
      </w:r>
      <w:r w:rsidRPr="001D24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1D24E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olíticas educativas</w:t>
      </w:r>
      <w:r w:rsidRPr="001D24E8">
        <w:rPr>
          <w:rFonts w:ascii="Arial" w:hAnsi="Arial" w:cs="Arial"/>
          <w:sz w:val="24"/>
          <w:szCs w:val="24"/>
        </w:rPr>
        <w:t>.</w:t>
      </w:r>
    </w:p>
    <w:p w:rsidR="008E4178" w:rsidRDefault="001D24E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Historia de la </w:t>
      </w:r>
      <w:r w:rsidRPr="001D24E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iencia y la tecnología.</w:t>
      </w:r>
    </w:p>
    <w:p w:rsidR="008E4178" w:rsidRDefault="001D24E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Revolución en el poder. Participación popular,</w:t>
      </w:r>
      <w:r w:rsidRPr="001D24E8">
        <w:rPr>
          <w:rFonts w:ascii="Arial" w:hAnsi="Arial" w:cs="Arial"/>
          <w:sz w:val="24"/>
          <w:szCs w:val="24"/>
        </w:rPr>
        <w:t xml:space="preserve"> transformaciones</w:t>
      </w:r>
      <w:r>
        <w:rPr>
          <w:rFonts w:ascii="Arial" w:hAnsi="Arial" w:cs="Arial"/>
          <w:sz w:val="24"/>
          <w:szCs w:val="24"/>
        </w:rPr>
        <w:t xml:space="preserve"> económicas, estructura social y desarrollo cultural.</w:t>
      </w:r>
    </w:p>
    <w:p w:rsidR="008E4178" w:rsidRDefault="001D24E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Espeleología, la arqueología y </w:t>
      </w:r>
      <w:r w:rsidRPr="001D24E8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tropología, </w:t>
      </w:r>
      <w:r>
        <w:rPr>
          <w:rFonts w:ascii="Arial" w:hAnsi="Arial" w:cs="Arial"/>
          <w:sz w:val="24"/>
          <w:szCs w:val="24"/>
        </w:rPr>
        <w:t>resultados de investigación.</w:t>
      </w:r>
    </w:p>
    <w:p w:rsidR="008E4178" w:rsidRDefault="001D24E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Enseñanza de la Historia de Cuba y el </w:t>
      </w:r>
      <w:r w:rsidRPr="001D24E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arxismo</w:t>
      </w:r>
      <w:r w:rsidRPr="001D24E8">
        <w:rPr>
          <w:rFonts w:ascii="Arial" w:hAnsi="Arial" w:cs="Arial"/>
          <w:sz w:val="24"/>
          <w:szCs w:val="24"/>
        </w:rPr>
        <w:t>: retos</w:t>
      </w:r>
      <w:r>
        <w:rPr>
          <w:rFonts w:ascii="Arial" w:hAnsi="Arial" w:cs="Arial"/>
          <w:sz w:val="24"/>
          <w:szCs w:val="24"/>
        </w:rPr>
        <w:t xml:space="preserve"> y perspectiva</w:t>
      </w:r>
      <w:r w:rsidRPr="001D24E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en Cuba.</w:t>
      </w:r>
    </w:p>
    <w:p w:rsidR="008E4178" w:rsidRDefault="008E41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  <w:sectPr w:rsidR="008E417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E4178" w:rsidRPr="001D24E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D24E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E4178" w:rsidRPr="001D24E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D24E8">
        <w:rPr>
          <w:rFonts w:ascii="Arial" w:hAnsi="Arial" w:cs="Arial"/>
          <w:sz w:val="24"/>
          <w:szCs w:val="24"/>
          <w:u w:val="single"/>
        </w:rPr>
        <w:t>Comité Organizador:</w:t>
      </w:r>
    </w:p>
    <w:p w:rsidR="008E4178" w:rsidRPr="001D24E8" w:rsidRDefault="008E41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4178" w:rsidRPr="001D24E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Miembros: MSc</w:t>
      </w:r>
      <w:r w:rsidRPr="001D24E8">
        <w:rPr>
          <w:rFonts w:ascii="Arial" w:hAnsi="Arial" w:cs="Arial"/>
          <w:sz w:val="24"/>
          <w:szCs w:val="24"/>
        </w:rPr>
        <w:t>.  Dariel Alba Bermúdez</w:t>
      </w:r>
    </w:p>
    <w:p w:rsidR="008E4178" w:rsidRPr="001D24E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4E8">
        <w:rPr>
          <w:rFonts w:ascii="Arial" w:hAnsi="Arial" w:cs="Arial"/>
          <w:sz w:val="24"/>
          <w:szCs w:val="24"/>
        </w:rPr>
        <w:t xml:space="preserve">MSc. </w:t>
      </w:r>
      <w:proofErr w:type="spellStart"/>
      <w:r w:rsidRPr="001D24E8">
        <w:rPr>
          <w:rFonts w:ascii="Arial" w:hAnsi="Arial" w:cs="Arial"/>
          <w:sz w:val="24"/>
          <w:szCs w:val="24"/>
        </w:rPr>
        <w:t>Bety</w:t>
      </w:r>
      <w:proofErr w:type="spellEnd"/>
      <w:r w:rsidRPr="001D24E8">
        <w:rPr>
          <w:rFonts w:ascii="Arial" w:hAnsi="Arial" w:cs="Arial"/>
          <w:sz w:val="24"/>
          <w:szCs w:val="24"/>
        </w:rPr>
        <w:t xml:space="preserve"> Díaz Cárdenas</w:t>
      </w:r>
    </w:p>
    <w:p w:rsidR="008E4178" w:rsidRPr="001D24E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4E8">
        <w:rPr>
          <w:rFonts w:ascii="Arial" w:hAnsi="Arial" w:cs="Arial"/>
          <w:sz w:val="24"/>
          <w:szCs w:val="24"/>
        </w:rPr>
        <w:t>Lic. Roberto Y. Sotolongo Roche</w:t>
      </w:r>
    </w:p>
    <w:p w:rsidR="008E4178" w:rsidRPr="001D24E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4E8">
        <w:rPr>
          <w:rFonts w:ascii="Arial" w:hAnsi="Arial" w:cs="Arial"/>
          <w:sz w:val="24"/>
          <w:szCs w:val="24"/>
        </w:rPr>
        <w:t>Lic. Claudia D. Go</w:t>
      </w:r>
      <w:r w:rsidRPr="001D24E8">
        <w:rPr>
          <w:rFonts w:ascii="Arial" w:hAnsi="Arial" w:cs="Arial"/>
          <w:sz w:val="24"/>
          <w:szCs w:val="24"/>
        </w:rPr>
        <w:t>nzález Delgado</w:t>
      </w:r>
    </w:p>
    <w:p w:rsidR="008E4178" w:rsidRPr="001D24E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4E8">
        <w:rPr>
          <w:rFonts w:ascii="Arial" w:hAnsi="Arial" w:cs="Arial"/>
          <w:sz w:val="24"/>
          <w:szCs w:val="24"/>
        </w:rPr>
        <w:t xml:space="preserve">Lic. Virgen Mercedes Rivera Hernández </w:t>
      </w:r>
    </w:p>
    <w:p w:rsidR="008E4178" w:rsidRPr="001D24E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4E8">
        <w:rPr>
          <w:rFonts w:ascii="Arial" w:hAnsi="Arial" w:cs="Arial"/>
          <w:sz w:val="24"/>
          <w:szCs w:val="24"/>
        </w:rPr>
        <w:t xml:space="preserve">Lic. </w:t>
      </w:r>
      <w:proofErr w:type="spellStart"/>
      <w:r w:rsidRPr="001D24E8">
        <w:rPr>
          <w:rFonts w:ascii="Arial" w:hAnsi="Arial" w:cs="Arial"/>
          <w:sz w:val="24"/>
          <w:szCs w:val="24"/>
        </w:rPr>
        <w:t>Talia</w:t>
      </w:r>
      <w:proofErr w:type="spellEnd"/>
      <w:r w:rsidRPr="001D2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24E8">
        <w:rPr>
          <w:rFonts w:ascii="Arial" w:hAnsi="Arial" w:cs="Arial"/>
          <w:sz w:val="24"/>
          <w:szCs w:val="24"/>
        </w:rPr>
        <w:t>Fortes</w:t>
      </w:r>
      <w:proofErr w:type="spellEnd"/>
      <w:r w:rsidRPr="001D24E8">
        <w:rPr>
          <w:rFonts w:ascii="Arial" w:hAnsi="Arial" w:cs="Arial"/>
          <w:sz w:val="24"/>
          <w:szCs w:val="24"/>
        </w:rPr>
        <w:t xml:space="preserve"> </w:t>
      </w:r>
      <w:r w:rsidRPr="001D24E8">
        <w:rPr>
          <w:rFonts w:ascii="Arial" w:hAnsi="Arial" w:cs="Arial"/>
          <w:sz w:val="24"/>
          <w:szCs w:val="24"/>
        </w:rPr>
        <w:t>Pérez</w:t>
      </w:r>
    </w:p>
    <w:p w:rsidR="008E4178" w:rsidRPr="001D24E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4E8">
        <w:rPr>
          <w:rFonts w:ascii="Arial" w:hAnsi="Arial" w:cs="Arial"/>
          <w:sz w:val="24"/>
          <w:szCs w:val="24"/>
        </w:rPr>
        <w:t xml:space="preserve">Lic. </w:t>
      </w:r>
      <w:proofErr w:type="spellStart"/>
      <w:r w:rsidRPr="001D24E8">
        <w:rPr>
          <w:rFonts w:ascii="Arial" w:hAnsi="Arial" w:cs="Arial"/>
          <w:sz w:val="24"/>
          <w:szCs w:val="24"/>
        </w:rPr>
        <w:t>Yenisleidy</w:t>
      </w:r>
      <w:proofErr w:type="spellEnd"/>
      <w:r w:rsidRPr="001D24E8">
        <w:rPr>
          <w:rFonts w:ascii="Arial" w:hAnsi="Arial" w:cs="Arial"/>
          <w:sz w:val="24"/>
          <w:szCs w:val="24"/>
        </w:rPr>
        <w:t xml:space="preserve"> González Padrón</w:t>
      </w:r>
    </w:p>
    <w:p w:rsidR="008E4178" w:rsidRDefault="008E41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4178" w:rsidRPr="001D24E8" w:rsidRDefault="008E417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8E4178" w:rsidRPr="001D24E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D24E8">
        <w:rPr>
          <w:rFonts w:ascii="Arial" w:hAnsi="Arial" w:cs="Arial"/>
          <w:sz w:val="24"/>
          <w:szCs w:val="24"/>
          <w:u w:val="single"/>
        </w:rPr>
        <w:t xml:space="preserve">Comité académico: </w:t>
      </w:r>
    </w:p>
    <w:p w:rsidR="008E4178" w:rsidRPr="001D24E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 Dr</w:t>
      </w:r>
      <w:r w:rsidRPr="001D24E8">
        <w:rPr>
          <w:rFonts w:ascii="Arial" w:hAnsi="Arial" w:cs="Arial"/>
          <w:sz w:val="24"/>
          <w:szCs w:val="24"/>
        </w:rPr>
        <w:t>.</w:t>
      </w:r>
      <w:r w:rsidRPr="001D24E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</w:t>
      </w:r>
      <w:r w:rsidRPr="001D24E8">
        <w:rPr>
          <w:rFonts w:ascii="Arial" w:hAnsi="Arial" w:cs="Arial"/>
          <w:sz w:val="24"/>
          <w:szCs w:val="24"/>
        </w:rPr>
        <w:t xml:space="preserve"> Madelaine Miranda Molina</w:t>
      </w:r>
    </w:p>
    <w:p w:rsidR="008E4178" w:rsidRPr="001D24E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4E8">
        <w:rPr>
          <w:rFonts w:ascii="Arial" w:hAnsi="Arial" w:cs="Arial"/>
          <w:sz w:val="24"/>
          <w:szCs w:val="24"/>
        </w:rPr>
        <w:t xml:space="preserve">Vicepresidente: Dr.C Lesby José Domínguez Fonseca </w:t>
      </w:r>
    </w:p>
    <w:p w:rsidR="008E4178" w:rsidRPr="001D24E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Secretario: MSc</w:t>
      </w:r>
      <w:r w:rsidRPr="001D24E8">
        <w:rPr>
          <w:rFonts w:ascii="Arial" w:hAnsi="Arial" w:cs="Arial"/>
          <w:sz w:val="24"/>
          <w:szCs w:val="24"/>
        </w:rPr>
        <w:t xml:space="preserve">. Ana Lidia Hernández Chacón </w:t>
      </w:r>
    </w:p>
    <w:p w:rsidR="008E4178" w:rsidRPr="001D24E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4E8">
        <w:rPr>
          <w:rFonts w:ascii="Arial" w:hAnsi="Arial" w:cs="Arial"/>
          <w:sz w:val="24"/>
          <w:szCs w:val="24"/>
        </w:rPr>
        <w:t xml:space="preserve">Miembros: </w:t>
      </w:r>
    </w:p>
    <w:p w:rsidR="008E4178" w:rsidRPr="001D24E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</w:t>
      </w:r>
      <w:r w:rsidRPr="001D24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D24E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</w:t>
      </w:r>
      <w:r w:rsidRPr="001D24E8">
        <w:rPr>
          <w:rFonts w:ascii="Arial" w:hAnsi="Arial" w:cs="Arial"/>
          <w:sz w:val="24"/>
          <w:szCs w:val="24"/>
        </w:rPr>
        <w:t xml:space="preserve"> Carmen Varela Piloto</w:t>
      </w:r>
    </w:p>
    <w:p w:rsidR="008E4178" w:rsidRPr="001D24E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8E4178" w:rsidRPr="001D24E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MSc</w:t>
      </w:r>
      <w:r w:rsidRPr="001D24E8">
        <w:rPr>
          <w:rFonts w:ascii="Arial" w:hAnsi="Arial" w:cs="Arial"/>
          <w:sz w:val="24"/>
          <w:szCs w:val="24"/>
        </w:rPr>
        <w:t xml:space="preserve">. Danay Morgado González </w:t>
      </w:r>
    </w:p>
    <w:p w:rsidR="008E4178" w:rsidRDefault="008E41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4178" w:rsidRDefault="008E41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4178" w:rsidRPr="001D24E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4E8">
        <w:rPr>
          <w:rFonts w:ascii="Arial" w:hAnsi="Arial" w:cs="Arial"/>
          <w:sz w:val="24"/>
          <w:szCs w:val="24"/>
        </w:rPr>
        <w:t xml:space="preserve">PROGRAMA CIENTÍFICO </w:t>
      </w:r>
    </w:p>
    <w:p w:rsidR="008E417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programa científico se desarrollará por medio de conferencias y ponencias.</w:t>
      </w:r>
    </w:p>
    <w:p w:rsidR="001D24E8" w:rsidRDefault="001D24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4178" w:rsidRPr="001D24E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4E8">
        <w:rPr>
          <w:rFonts w:ascii="Arial" w:hAnsi="Arial" w:cs="Arial"/>
          <w:sz w:val="24"/>
          <w:szCs w:val="24"/>
        </w:rPr>
        <w:t xml:space="preserve">PARTICIPANTES </w:t>
      </w:r>
    </w:p>
    <w:p w:rsidR="008E417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Estudiantes de la </w:t>
      </w:r>
      <w:r>
        <w:rPr>
          <w:rFonts w:ascii="Arial" w:hAnsi="Arial" w:cs="Arial"/>
          <w:sz w:val="24"/>
          <w:szCs w:val="24"/>
        </w:rPr>
        <w:t>Licenciatura en Historia, estudiantes de la Educación Superior que presenten trabajos relacionados con las temáticas propuestas. Estudiantes FEEM.</w:t>
      </w:r>
    </w:p>
    <w:p w:rsidR="001D24E8" w:rsidRDefault="001D24E8">
      <w:pPr>
        <w:tabs>
          <w:tab w:val="left" w:pos="74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4178" w:rsidRPr="001D24E8" w:rsidRDefault="001D24E8">
      <w:pPr>
        <w:tabs>
          <w:tab w:val="left" w:pos="7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4E8">
        <w:rPr>
          <w:rFonts w:ascii="Arial" w:hAnsi="Arial" w:cs="Arial"/>
          <w:sz w:val="24"/>
          <w:szCs w:val="24"/>
        </w:rPr>
        <w:t xml:space="preserve">BASES  </w:t>
      </w:r>
    </w:p>
    <w:p w:rsidR="008E4178" w:rsidRDefault="001D24E8">
      <w:pPr>
        <w:pStyle w:val="Prrafodelista"/>
        <w:numPr>
          <w:ilvl w:val="0"/>
          <w:numId w:val="5"/>
        </w:numPr>
        <w:tabs>
          <w:tab w:val="left" w:pos="7440"/>
        </w:tabs>
        <w:spacing w:after="0" w:line="24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plazo de admisión de los resúmenes </w:t>
      </w:r>
      <w:r>
        <w:rPr>
          <w:rFonts w:ascii="Arial" w:hAnsi="Arial" w:cs="Arial"/>
          <w:color w:val="000000"/>
          <w:sz w:val="24"/>
          <w:szCs w:val="24"/>
        </w:rPr>
        <w:t>vence el 19 de marzo.</w:t>
      </w:r>
      <w:r>
        <w:rPr>
          <w:rFonts w:ascii="Arial" w:hAnsi="Arial" w:cs="Arial"/>
          <w:sz w:val="24"/>
          <w:szCs w:val="24"/>
        </w:rPr>
        <w:t xml:space="preserve"> Los autores deben además enviar junto con </w:t>
      </w:r>
      <w:r>
        <w:rPr>
          <w:rFonts w:ascii="Arial" w:hAnsi="Arial" w:cs="Arial"/>
          <w:sz w:val="24"/>
          <w:szCs w:val="24"/>
        </w:rPr>
        <w:t>el Resumen digital (250 palabras), otros datos como: Nombres y apellidos, centro o institución a la que pertenece, teléfono y correo. Estos datos son necesarios en funciones organizativas y para la acreditación.</w:t>
      </w:r>
    </w:p>
    <w:p w:rsidR="008E4178" w:rsidRDefault="001D24E8">
      <w:pPr>
        <w:pStyle w:val="Prrafodelista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recepcionados, el Comité Académico e</w:t>
      </w:r>
      <w:r>
        <w:rPr>
          <w:rFonts w:ascii="Arial" w:hAnsi="Arial" w:cs="Arial"/>
          <w:sz w:val="24"/>
          <w:szCs w:val="24"/>
        </w:rPr>
        <w:t>nviará confirmación de participación a los autores de los trabajos aceptados.</w:t>
      </w:r>
    </w:p>
    <w:p w:rsidR="008E4178" w:rsidRPr="001D24E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Los trabajos aceptados deben ser enviados en versión digital </w:t>
      </w:r>
      <w:r w:rsidRPr="001D24E8">
        <w:rPr>
          <w:rFonts w:ascii="Arial" w:hAnsi="Arial" w:cs="Arial"/>
          <w:sz w:val="24"/>
          <w:szCs w:val="24"/>
        </w:rPr>
        <w:t>(formato artículo de 10 a 15 cuartillas. Norma APA. 7ta Edición,</w:t>
      </w:r>
      <w:r w:rsidRPr="001D24E8">
        <w:rPr>
          <w:rFonts w:ascii="Arial" w:hAnsi="Arial" w:cs="Arial"/>
          <w:sz w:val="24"/>
          <w:szCs w:val="24"/>
        </w:rPr>
        <w:t xml:space="preserve"> </w:t>
      </w:r>
      <w:r w:rsidRPr="001D24E8">
        <w:rPr>
          <w:rFonts w:ascii="Arial" w:hAnsi="Arial" w:cs="Arial"/>
          <w:sz w:val="24"/>
          <w:szCs w:val="24"/>
        </w:rPr>
        <w:t>Escrito en Verdana</w:t>
      </w:r>
      <w:bookmarkStart w:id="0" w:name="_GoBack"/>
      <w:bookmarkEnd w:id="0"/>
      <w:r w:rsidRPr="001D24E8">
        <w:rPr>
          <w:rFonts w:ascii="Arial" w:hAnsi="Arial" w:cs="Arial"/>
          <w:sz w:val="24"/>
          <w:szCs w:val="24"/>
        </w:rPr>
        <w:t xml:space="preserve"> 10 y a</w:t>
      </w:r>
      <w:r w:rsidRPr="001D24E8">
        <w:rPr>
          <w:rFonts w:ascii="Arial" w:hAnsi="Arial" w:cs="Arial"/>
          <w:sz w:val="24"/>
          <w:szCs w:val="24"/>
        </w:rPr>
        <w:t xml:space="preserve"> espacio de 1,0 Interlin</w:t>
      </w:r>
      <w:r w:rsidRPr="001D24E8">
        <w:rPr>
          <w:rFonts w:ascii="Arial" w:hAnsi="Arial" w:cs="Arial"/>
          <w:sz w:val="24"/>
          <w:szCs w:val="24"/>
        </w:rPr>
        <w:t>eado sencillo).</w:t>
      </w:r>
    </w:p>
    <w:p w:rsidR="008E4178" w:rsidRDefault="001D24E8">
      <w:pPr>
        <w:pStyle w:val="Prrafodelista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trabajos aceptados se entregarán en formato digital durante la acreditación del evento. La inscripción de los trabajos será de modo gratuito para los estudiantes.</w:t>
      </w:r>
    </w:p>
    <w:p w:rsidR="008E4178" w:rsidRDefault="001D24E8">
      <w:pPr>
        <w:pStyle w:val="Prrafodelista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ponentes contarán con 10 minutos para defender sus trabajos y otros 1</w:t>
      </w:r>
      <w:r>
        <w:rPr>
          <w:rFonts w:ascii="Arial" w:hAnsi="Arial" w:cs="Arial"/>
          <w:sz w:val="24"/>
          <w:szCs w:val="24"/>
        </w:rPr>
        <w:t xml:space="preserve">0 minutos para el debate. </w:t>
      </w:r>
    </w:p>
    <w:p w:rsidR="008E4178" w:rsidRDefault="001D24E8">
      <w:pPr>
        <w:pStyle w:val="Prrafodelista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entregará diploma acreditativo a los ponentes y participantes. </w:t>
      </w:r>
    </w:p>
    <w:p w:rsidR="008E4178" w:rsidRDefault="001D24E8">
      <w:pPr>
        <w:pStyle w:val="Prrafodelista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el trabajo corresponda a un colectivo de autores (hasta 3)  se le entregará un diploma acreditativo por trabajo que contempla los 3 autores, aunque solo un</w:t>
      </w:r>
      <w:r>
        <w:rPr>
          <w:rFonts w:ascii="Arial" w:hAnsi="Arial" w:cs="Arial"/>
          <w:sz w:val="24"/>
          <w:szCs w:val="24"/>
        </w:rPr>
        <w:t>o asistirá como ponente y expondrá en representación de los demás.</w:t>
      </w:r>
    </w:p>
    <w:p w:rsidR="008E4178" w:rsidRDefault="001D24E8">
      <w:pPr>
        <w:pStyle w:val="Prrafodelista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El evento contemplará la </w:t>
      </w:r>
      <w:r w:rsidRPr="001D24E8">
        <w:rPr>
          <w:rFonts w:ascii="Arial" w:hAnsi="Arial" w:cs="Arial"/>
          <w:color w:val="000000"/>
          <w:sz w:val="24"/>
          <w:szCs w:val="24"/>
        </w:rPr>
        <w:t>modalidad virtual</w:t>
      </w:r>
      <w:r>
        <w:rPr>
          <w:rFonts w:ascii="Arial" w:hAnsi="Arial" w:cs="Arial"/>
          <w:sz w:val="24"/>
          <w:szCs w:val="24"/>
        </w:rPr>
        <w:t xml:space="preserve"> para los estudiantes de otras regiones del país</w:t>
      </w:r>
      <w:r w:rsidRPr="001D24E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La presentación de dichos trabajos se realizará vía Telegram, para lo cual se crearán grupos de </w:t>
      </w:r>
      <w:r>
        <w:rPr>
          <w:rFonts w:ascii="Arial" w:hAnsi="Arial" w:cs="Arial"/>
          <w:sz w:val="24"/>
          <w:szCs w:val="24"/>
        </w:rPr>
        <w:t>las temáticas afines.</w:t>
      </w:r>
    </w:p>
    <w:p w:rsidR="008E4178" w:rsidRDefault="001D24E8">
      <w:pPr>
        <w:pStyle w:val="Prrafodelista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resúmenes, artículos e información solicitada  deben enviarse a: </w:t>
      </w:r>
    </w:p>
    <w:p w:rsidR="008E4178" w:rsidRDefault="008E41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417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Correo: edodehistoriaucf@gmail.com</w:t>
      </w:r>
    </w:p>
    <w:p w:rsidR="008E4178" w:rsidRDefault="008E41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4178" w:rsidRDefault="001D24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pueden entregar los trabajos en: Departamento de Historia. Universidad de Cienfuegos. Sede “Conrado Benítez”. Ave</w:t>
      </w:r>
      <w:r>
        <w:rPr>
          <w:rFonts w:ascii="Arial" w:hAnsi="Arial" w:cs="Arial"/>
          <w:sz w:val="24"/>
          <w:szCs w:val="24"/>
        </w:rPr>
        <w:t xml:space="preserve"> 20. Reparto Laredo. Cienfuegos.</w:t>
      </w:r>
    </w:p>
    <w:p w:rsidR="008E4178" w:rsidRDefault="008E4178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E4178" w:rsidRDefault="008E4178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E4178" w:rsidRDefault="008E41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E417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829E5B1E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1"/>
    <w:multiLevelType w:val="hybridMultilevel"/>
    <w:tmpl w:val="8E781FD4"/>
    <w:lvl w:ilvl="0" w:tplc="7CE24FFA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7DFA43F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AB6B6A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37B2200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0D853B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E842AFE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330E93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9CACE2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1F8C9CC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2"/>
    <w:multiLevelType w:val="hybridMultilevel"/>
    <w:tmpl w:val="C8D8A0E0"/>
    <w:lvl w:ilvl="0" w:tplc="2D660708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25E4168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698697C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A86A99F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E849E4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422043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86E5F5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B8C0DB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1CE83C9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3"/>
    <w:multiLevelType w:val="hybridMultilevel"/>
    <w:tmpl w:val="E4B2473A"/>
    <w:lvl w:ilvl="0" w:tplc="D38C401C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  <w:color w:val="auto"/>
      </w:rPr>
    </w:lvl>
    <w:lvl w:ilvl="1" w:tplc="0C0A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4"/>
    <w:multiLevelType w:val="hybridMultilevel"/>
    <w:tmpl w:val="87F42AB4"/>
    <w:lvl w:ilvl="0" w:tplc="8A22ABE4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DEC8466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32FA29D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1BA628B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87C14E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D30AB6F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C5A02C2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196105A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AEFCA4A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5"/>
    <w:multiLevelType w:val="hybridMultilevel"/>
    <w:tmpl w:val="AAF631B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4178"/>
    <w:rsid w:val="001D24E8"/>
    <w:rsid w:val="008E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E695AC"/>
  <w15:docId w15:val="{3BB4D6E9-EAEC-4A13-B247-1732E7A8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SimSu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eastAsia="Calibri"/>
      <w:lang w:eastAsia="en-US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783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Ibisamy</dc:creator>
  <cp:lastModifiedBy>Yamileisy YBC. Barrameda Castillo</cp:lastModifiedBy>
  <cp:revision>59</cp:revision>
  <dcterms:created xsi:type="dcterms:W3CDTF">2016-04-01T19:02:00Z</dcterms:created>
  <dcterms:modified xsi:type="dcterms:W3CDTF">2025-02-17T18:43:00Z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ef28e8c3aa7a47e99bd448bda9f02d4f</vt:lpwstr>
  </property>
</Properties>
</file>