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E413" w14:textId="233DF811" w:rsidR="008B3451" w:rsidRDefault="00E22F6C">
      <w:pPr>
        <w:spacing w:after="0" w:line="259" w:lineRule="auto"/>
        <w:ind w:left="0" w:right="6" w:firstLine="0"/>
        <w:jc w:val="center"/>
      </w:pPr>
      <w:r>
        <w:rPr>
          <w:b/>
        </w:rPr>
        <w:t>CONVOCATORIA A EVENTO TERRITORIA</w:t>
      </w:r>
      <w:r w:rsidR="00531C84">
        <w:rPr>
          <w:b/>
        </w:rPr>
        <w:t>L</w:t>
      </w:r>
      <w:r>
        <w:rPr>
          <w:b/>
        </w:rPr>
        <w:t xml:space="preserve">  </w:t>
      </w:r>
      <w:r w:rsidR="0088170D">
        <w:rPr>
          <w:b/>
        </w:rPr>
        <w:t xml:space="preserve">CIENFUEGOS </w:t>
      </w:r>
    </w:p>
    <w:p w14:paraId="713E852A" w14:textId="77777777" w:rsidR="008B3451" w:rsidRDefault="00E22F6C">
      <w:pPr>
        <w:spacing w:after="100" w:line="259" w:lineRule="auto"/>
        <w:ind w:left="64" w:right="0" w:firstLine="0"/>
        <w:jc w:val="center"/>
      </w:pPr>
      <w:r>
        <w:rPr>
          <w:b/>
        </w:rPr>
        <w:t xml:space="preserve"> </w:t>
      </w:r>
    </w:p>
    <w:p w14:paraId="06879B6A" w14:textId="77777777" w:rsidR="008B3451" w:rsidRDefault="00E22F6C">
      <w:pPr>
        <w:spacing w:after="127"/>
        <w:ind w:right="0"/>
        <w:rPr>
          <w:szCs w:val="24"/>
        </w:rPr>
      </w:pPr>
      <w:r>
        <w:rPr>
          <w:szCs w:val="24"/>
        </w:rPr>
        <w:t xml:space="preserve">En el contexto de la Agenda 2030, las Instituciones de Educación Superior devienen en actores fundamentales para la consecución de los Objetivos de Desarrollo Sostenible, al incidir de manera decisiva en la formación de ciudadanos capaces de aprender a lo </w:t>
      </w:r>
      <w:r>
        <w:rPr>
          <w:szCs w:val="24"/>
        </w:rPr>
        <w:t xml:space="preserve">largo de toda la vida, y tener la capacidad de movilizar a su comunidad universitaria y entornos inmediatos para asumir nuevos desafíos en pos de la salvaguarda del planeta y de la propia humanidad. </w:t>
      </w:r>
    </w:p>
    <w:p w14:paraId="1B61EE6D" w14:textId="77777777" w:rsidR="008B3451" w:rsidRDefault="00E22F6C">
      <w:pPr>
        <w:spacing w:after="127"/>
        <w:ind w:right="0"/>
        <w:rPr>
          <w:szCs w:val="24"/>
        </w:rPr>
      </w:pPr>
      <w:r>
        <w:rPr>
          <w:szCs w:val="24"/>
        </w:rPr>
        <w:t xml:space="preserve">El compromiso que representa tal implicación y demanda, </w:t>
      </w:r>
      <w:r>
        <w:rPr>
          <w:szCs w:val="24"/>
        </w:rPr>
        <w:t xml:space="preserve">obliga a la universidad como agente del desarrollo sostenible, a fortalecer su pertinencia, la eficacia y eficiencia de sus procesos, su responsabilidad y prácticas inclusivas a favor de la transformación social en todas sus dimensiones, principalmente en </w:t>
      </w:r>
      <w:r>
        <w:rPr>
          <w:szCs w:val="24"/>
        </w:rPr>
        <w:t xml:space="preserve">lo económico, sociocultural y ambiental. Al mismo tiempo, con ello se refrenda la educación superior como un bien público y social, un derecho humano universal, y un deber de los Estados.  </w:t>
      </w:r>
    </w:p>
    <w:p w14:paraId="170498ED" w14:textId="77777777" w:rsidR="008B3451" w:rsidRDefault="00E22F6C">
      <w:pPr>
        <w:spacing w:after="127"/>
        <w:ind w:right="0"/>
        <w:rPr>
          <w:szCs w:val="24"/>
        </w:rPr>
      </w:pPr>
      <w:r>
        <w:rPr>
          <w:szCs w:val="24"/>
        </w:rPr>
        <w:t>Partiendo de estas premisas, el Ministerio de Educación Superior y</w:t>
      </w:r>
      <w:r>
        <w:rPr>
          <w:szCs w:val="24"/>
        </w:rPr>
        <w:t xml:space="preserve"> los Centros de Educación Superior (CES) les invitan a participar, del 9 al 13 de febrero, en el 15</w:t>
      </w:r>
      <w:r>
        <w:rPr>
          <w:szCs w:val="24"/>
          <w:vertAlign w:val="superscript"/>
        </w:rPr>
        <w:t xml:space="preserve">to. </w:t>
      </w:r>
      <w:r>
        <w:rPr>
          <w:szCs w:val="24"/>
        </w:rPr>
        <w:t>Congreso Internacional de Educación Superior Universidad 2026, en el Palacio de las Convenciones de La Habana, Cuba, para continuar dialogando y reflexio</w:t>
      </w:r>
      <w:r>
        <w:rPr>
          <w:szCs w:val="24"/>
        </w:rPr>
        <w:t xml:space="preserve">nando sobre su papel en la transformación social, basado en los principios de la calidad, la sostenibilidad y su pertinencia. </w:t>
      </w:r>
    </w:p>
    <w:p w14:paraId="266B80F5" w14:textId="77777777" w:rsidR="008B3451" w:rsidRDefault="00E22F6C">
      <w:pPr>
        <w:spacing w:after="127"/>
        <w:ind w:right="0"/>
        <w:rPr>
          <w:szCs w:val="24"/>
        </w:rPr>
      </w:pPr>
      <w:r>
        <w:rPr>
          <w:szCs w:val="24"/>
        </w:rPr>
        <w:t>Tal oportunidad se ha convertido en un momento de especial encuentro desde la base que favorece el diálogo de saberes entre todos</w:t>
      </w:r>
      <w:r>
        <w:rPr>
          <w:szCs w:val="24"/>
        </w:rPr>
        <w:t xml:space="preserve"> los actores en cada una de las localidades del país, aportando al evento un marcado carácter participativo. La organización de eventos territoriales, como parte del proceso nacional preparatorio, constituye uno de los pilares del Congreso, un espacio para</w:t>
      </w:r>
      <w:r>
        <w:rPr>
          <w:szCs w:val="24"/>
        </w:rPr>
        <w:t xml:space="preserve"> el intercambio científico, la confrontación y la exposición de los resultados más relevantes de la Educación Superior. </w:t>
      </w:r>
    </w:p>
    <w:p w14:paraId="053F0E13" w14:textId="77777777" w:rsidR="008B3451" w:rsidRDefault="00E22F6C">
      <w:pPr>
        <w:spacing w:after="127"/>
        <w:ind w:right="0"/>
        <w:rPr>
          <w:szCs w:val="24"/>
        </w:rPr>
      </w:pPr>
      <w:r>
        <w:rPr>
          <w:szCs w:val="24"/>
        </w:rPr>
        <w:t>A tales fines, en cada una de las provincias se procederá a diseñar dicho proceso de acuerdo con sus características y necesidades y se</w:t>
      </w:r>
      <w:r>
        <w:rPr>
          <w:szCs w:val="24"/>
        </w:rPr>
        <w:t xml:space="preserve"> promoverá en función de garantizar altos niveles de participación desde la base. </w:t>
      </w:r>
    </w:p>
    <w:p w14:paraId="5F0BA4ED" w14:textId="79C9E82A" w:rsidR="008B3451" w:rsidRDefault="00E22F6C">
      <w:pPr>
        <w:spacing w:after="129"/>
        <w:ind w:right="0"/>
        <w:rPr>
          <w:szCs w:val="24"/>
        </w:rPr>
      </w:pPr>
      <w:r>
        <w:rPr>
          <w:szCs w:val="24"/>
        </w:rPr>
        <w:t>Este debe ser un evento organizado con todo el rigor científico, respaldado por las principales autoridades universitarias y del territorio</w:t>
      </w:r>
      <w:r w:rsidR="00531C84">
        <w:rPr>
          <w:szCs w:val="24"/>
        </w:rPr>
        <w:t>.</w:t>
      </w:r>
      <w:r>
        <w:rPr>
          <w:szCs w:val="24"/>
        </w:rPr>
        <w:t xml:space="preserve"> </w:t>
      </w:r>
    </w:p>
    <w:p w14:paraId="3D91B851" w14:textId="1AC7830C" w:rsidR="008B3451" w:rsidRDefault="00E22F6C">
      <w:pPr>
        <w:spacing w:after="129"/>
        <w:ind w:left="-5" w:right="0"/>
        <w:rPr>
          <w:szCs w:val="24"/>
        </w:rPr>
      </w:pPr>
      <w:r>
        <w:rPr>
          <w:b/>
          <w:szCs w:val="24"/>
        </w:rPr>
        <w:t xml:space="preserve">El cronograma de </w:t>
      </w:r>
      <w:r w:rsidR="00531C84">
        <w:rPr>
          <w:b/>
          <w:szCs w:val="24"/>
        </w:rPr>
        <w:t xml:space="preserve">nuestro </w:t>
      </w:r>
      <w:r>
        <w:rPr>
          <w:b/>
          <w:szCs w:val="24"/>
        </w:rPr>
        <w:t>evento</w:t>
      </w:r>
      <w:r>
        <w:rPr>
          <w:b/>
          <w:szCs w:val="24"/>
        </w:rPr>
        <w:t xml:space="preserve"> </w:t>
      </w:r>
      <w:r w:rsidR="00FA574B">
        <w:rPr>
          <w:b/>
          <w:szCs w:val="24"/>
        </w:rPr>
        <w:t>territorial en</w:t>
      </w:r>
      <w:r w:rsidR="00531C84">
        <w:rPr>
          <w:b/>
          <w:szCs w:val="24"/>
        </w:rPr>
        <w:t xml:space="preserve"> Cienfuegos </w:t>
      </w:r>
      <w:r>
        <w:rPr>
          <w:b/>
          <w:szCs w:val="24"/>
        </w:rPr>
        <w:t>será</w:t>
      </w:r>
      <w:r>
        <w:rPr>
          <w:szCs w:val="24"/>
        </w:rPr>
        <w:t xml:space="preserve">: </w:t>
      </w:r>
    </w:p>
    <w:p w14:paraId="1A58D664" w14:textId="2A7F6803" w:rsidR="008B3451" w:rsidRDefault="00E22F6C">
      <w:pPr>
        <w:spacing w:after="129"/>
        <w:ind w:right="0"/>
        <w:rPr>
          <w:b/>
          <w:szCs w:val="24"/>
        </w:rPr>
      </w:pPr>
      <w:r>
        <w:rPr>
          <w:b/>
          <w:szCs w:val="24"/>
        </w:rPr>
        <w:t xml:space="preserve">Nivel </w:t>
      </w:r>
      <w:r w:rsidR="00531C84">
        <w:rPr>
          <w:b/>
          <w:szCs w:val="24"/>
        </w:rPr>
        <w:t>de Municipios</w:t>
      </w:r>
      <w:r>
        <w:rPr>
          <w:b/>
          <w:szCs w:val="24"/>
        </w:rPr>
        <w:t xml:space="preserve">: </w:t>
      </w:r>
      <w:r w:rsidR="00531C84">
        <w:rPr>
          <w:szCs w:val="24"/>
        </w:rPr>
        <w:t xml:space="preserve">03 al </w:t>
      </w:r>
      <w:r>
        <w:rPr>
          <w:szCs w:val="24"/>
        </w:rPr>
        <w:t>28 de marzo de 2025</w:t>
      </w:r>
      <w:r>
        <w:rPr>
          <w:b/>
          <w:szCs w:val="24"/>
        </w:rPr>
        <w:t xml:space="preserve"> </w:t>
      </w:r>
    </w:p>
    <w:p w14:paraId="6D7CE1A6" w14:textId="3C5B6A7A" w:rsidR="00FA574B" w:rsidRPr="00FA574B" w:rsidRDefault="00FA574B">
      <w:pPr>
        <w:spacing w:after="129"/>
        <w:ind w:right="0"/>
        <w:rPr>
          <w:bCs/>
          <w:szCs w:val="24"/>
        </w:rPr>
      </w:pPr>
      <w:r>
        <w:rPr>
          <w:b/>
          <w:szCs w:val="24"/>
        </w:rPr>
        <w:t xml:space="preserve">Lugar: </w:t>
      </w:r>
      <w:r w:rsidRPr="00FA574B">
        <w:rPr>
          <w:bCs/>
          <w:szCs w:val="24"/>
        </w:rPr>
        <w:t xml:space="preserve">Centros Universitarios Municipales </w:t>
      </w:r>
    </w:p>
    <w:p w14:paraId="5D25816F" w14:textId="62FACB63" w:rsidR="008B3451" w:rsidRDefault="00E22F6C">
      <w:pPr>
        <w:spacing w:after="129"/>
        <w:ind w:left="-5" w:right="0"/>
        <w:rPr>
          <w:bCs/>
          <w:szCs w:val="24"/>
        </w:rPr>
      </w:pPr>
      <w:r>
        <w:rPr>
          <w:b/>
          <w:szCs w:val="24"/>
        </w:rPr>
        <w:t>Nivel Provincial</w:t>
      </w:r>
      <w:r w:rsidR="00531C84">
        <w:rPr>
          <w:b/>
          <w:szCs w:val="24"/>
        </w:rPr>
        <w:t xml:space="preserve">: </w:t>
      </w:r>
      <w:r w:rsidR="00531C84" w:rsidRPr="00531C84">
        <w:rPr>
          <w:bCs/>
          <w:szCs w:val="24"/>
        </w:rPr>
        <w:t>2</w:t>
      </w:r>
      <w:r w:rsidR="006A5D50">
        <w:rPr>
          <w:bCs/>
          <w:szCs w:val="24"/>
        </w:rPr>
        <w:t>9</w:t>
      </w:r>
      <w:r w:rsidR="00531C84" w:rsidRPr="00531C84">
        <w:rPr>
          <w:bCs/>
          <w:szCs w:val="24"/>
        </w:rPr>
        <w:t xml:space="preserve"> de abril de 2025</w:t>
      </w:r>
      <w:bookmarkStart w:id="0" w:name="_GoBack"/>
      <w:bookmarkEnd w:id="0"/>
    </w:p>
    <w:p w14:paraId="6B26E246" w14:textId="748ADF06" w:rsidR="00531C84" w:rsidRPr="00531C84" w:rsidRDefault="00531C84">
      <w:pPr>
        <w:spacing w:after="129"/>
        <w:ind w:left="-5" w:right="0"/>
        <w:rPr>
          <w:bCs/>
          <w:szCs w:val="24"/>
        </w:rPr>
      </w:pPr>
      <w:r>
        <w:rPr>
          <w:b/>
          <w:szCs w:val="24"/>
        </w:rPr>
        <w:lastRenderedPageBreak/>
        <w:t xml:space="preserve">Lugar: </w:t>
      </w:r>
      <w:r w:rsidRPr="00531C84">
        <w:rPr>
          <w:bCs/>
          <w:szCs w:val="24"/>
        </w:rPr>
        <w:t>Universidad</w:t>
      </w:r>
      <w:r>
        <w:rPr>
          <w:bCs/>
          <w:szCs w:val="24"/>
        </w:rPr>
        <w:t xml:space="preserve"> de Cienfuegos</w:t>
      </w:r>
      <w:r w:rsidRPr="00531C84">
        <w:rPr>
          <w:bCs/>
          <w:szCs w:val="24"/>
        </w:rPr>
        <w:t xml:space="preserve"> </w:t>
      </w:r>
      <w:r>
        <w:rPr>
          <w:bCs/>
          <w:szCs w:val="24"/>
        </w:rPr>
        <w:t>“</w:t>
      </w:r>
      <w:r w:rsidRPr="00531C84">
        <w:rPr>
          <w:bCs/>
          <w:szCs w:val="24"/>
        </w:rPr>
        <w:t>Carlos Rafael Rodríguez</w:t>
      </w:r>
      <w:r>
        <w:rPr>
          <w:bCs/>
          <w:szCs w:val="24"/>
        </w:rPr>
        <w:t>”</w:t>
      </w:r>
      <w:r w:rsidRPr="00531C84">
        <w:rPr>
          <w:bCs/>
          <w:szCs w:val="24"/>
        </w:rPr>
        <w:t>.  Sede Central</w:t>
      </w:r>
      <w:r>
        <w:rPr>
          <w:bCs/>
          <w:szCs w:val="24"/>
        </w:rPr>
        <w:t>.</w:t>
      </w:r>
    </w:p>
    <w:p w14:paraId="21C4D681" w14:textId="77777777" w:rsidR="008B3451" w:rsidRDefault="00E22F6C">
      <w:pPr>
        <w:spacing w:after="127"/>
        <w:ind w:right="0"/>
        <w:rPr>
          <w:szCs w:val="24"/>
        </w:rPr>
      </w:pPr>
      <w:r>
        <w:rPr>
          <w:szCs w:val="24"/>
        </w:rPr>
        <w:t>En todos los casos</w:t>
      </w:r>
      <w:r>
        <w:rPr>
          <w:szCs w:val="24"/>
        </w:rPr>
        <w:t xml:space="preserve"> los autores respetarán las normas de presentación de ponencias que se recogen en el </w:t>
      </w:r>
      <w:r>
        <w:rPr>
          <w:b/>
          <w:szCs w:val="24"/>
        </w:rPr>
        <w:t>Anexo No. 1</w:t>
      </w:r>
      <w:r>
        <w:rPr>
          <w:szCs w:val="24"/>
        </w:rPr>
        <w:t xml:space="preserve">  </w:t>
      </w:r>
    </w:p>
    <w:p w14:paraId="65C4BFB2" w14:textId="11C92F81" w:rsidR="00531C84" w:rsidRDefault="00531C84">
      <w:pPr>
        <w:spacing w:after="127"/>
        <w:ind w:right="0"/>
        <w:rPr>
          <w:szCs w:val="24"/>
        </w:rPr>
      </w:pPr>
      <w:r>
        <w:rPr>
          <w:szCs w:val="24"/>
        </w:rPr>
        <w:t>Los autores de las Sedes Central y Conrado Benítez  interesados en participar en el Evento Provincial</w:t>
      </w:r>
      <w:r w:rsidR="00FA574B">
        <w:rPr>
          <w:szCs w:val="24"/>
        </w:rPr>
        <w:t xml:space="preserve">, así como los seleccionados en los eventos municipales, </w:t>
      </w:r>
      <w:r>
        <w:rPr>
          <w:szCs w:val="24"/>
        </w:rPr>
        <w:t xml:space="preserve"> deben enviar sus trabajos en extenso al correo </w:t>
      </w:r>
      <w:hyperlink r:id="rId8" w:history="1">
        <w:r w:rsidRPr="007E778B">
          <w:rPr>
            <w:rStyle w:val="Hipervnculo"/>
            <w:szCs w:val="24"/>
          </w:rPr>
          <w:t>cti@ucf.edu.cu</w:t>
        </w:r>
      </w:hyperlink>
      <w:r>
        <w:rPr>
          <w:szCs w:val="24"/>
        </w:rPr>
        <w:t xml:space="preserve"> entre los días 1 y 11 de abril de </w:t>
      </w:r>
      <w:r w:rsidRPr="00531C84">
        <w:rPr>
          <w:bCs/>
          <w:szCs w:val="24"/>
        </w:rPr>
        <w:t>2025</w:t>
      </w:r>
      <w:r w:rsidR="00FA574B">
        <w:rPr>
          <w:bCs/>
          <w:szCs w:val="24"/>
        </w:rPr>
        <w:t>.</w:t>
      </w:r>
    </w:p>
    <w:p w14:paraId="1765C658" w14:textId="77777777" w:rsidR="008B3451" w:rsidRDefault="00E22F6C">
      <w:pPr>
        <w:spacing w:after="126"/>
        <w:ind w:right="0"/>
        <w:rPr>
          <w:szCs w:val="24"/>
        </w:rPr>
      </w:pPr>
      <w:r>
        <w:rPr>
          <w:szCs w:val="24"/>
        </w:rPr>
        <w:t>Los eventos a todos los niveles se estructurarán de acuerd</w:t>
      </w:r>
      <w:r>
        <w:rPr>
          <w:szCs w:val="24"/>
        </w:rPr>
        <w:t xml:space="preserve">o con los Simposios y Talleres aprobados para esta edición.   </w:t>
      </w:r>
    </w:p>
    <w:p w14:paraId="3676C947" w14:textId="77777777" w:rsidR="008B3451" w:rsidRDefault="00E22F6C">
      <w:pPr>
        <w:pStyle w:val="ListParagraph32ce5fc3-9e2d-4dc6-9d8d-6c366ad093d4"/>
        <w:numPr>
          <w:ilvl w:val="0"/>
          <w:numId w:val="1"/>
        </w:numPr>
        <w:spacing w:line="240" w:lineRule="auto"/>
        <w:jc w:val="both"/>
        <w:rPr>
          <w:rFonts w:ascii="Arial" w:hAnsi="Arial" w:cs="Arial"/>
          <w:b/>
          <w:sz w:val="24"/>
          <w:szCs w:val="24"/>
          <w:lang w:val="es-US"/>
        </w:rPr>
      </w:pPr>
      <w:r>
        <w:rPr>
          <w:rFonts w:ascii="Arial" w:hAnsi="Arial" w:cs="Arial"/>
          <w:b/>
          <w:sz w:val="24"/>
          <w:szCs w:val="24"/>
        </w:rPr>
        <w:t>Simposio 1: “La Educación Superior: los retos para el futuro e integración en la región”</w:t>
      </w:r>
    </w:p>
    <w:p w14:paraId="06148230" w14:textId="77777777" w:rsidR="008B3451" w:rsidRDefault="00E22F6C">
      <w:pPr>
        <w:pStyle w:val="ListParagraph32ce5fc3-9e2d-4dc6-9d8d-6c366ad093d4"/>
        <w:numPr>
          <w:ilvl w:val="0"/>
          <w:numId w:val="2"/>
        </w:numPr>
        <w:spacing w:line="240" w:lineRule="auto"/>
        <w:jc w:val="both"/>
        <w:rPr>
          <w:rFonts w:ascii="Arial" w:hAnsi="Arial" w:cs="Arial"/>
          <w:sz w:val="24"/>
          <w:szCs w:val="24"/>
          <w:lang w:val="es-US"/>
        </w:rPr>
      </w:pPr>
      <w:r>
        <w:rPr>
          <w:rFonts w:ascii="Arial" w:hAnsi="Arial" w:cs="Arial"/>
          <w:sz w:val="24"/>
          <w:szCs w:val="24"/>
        </w:rPr>
        <w:t>XVIII Taller Internacional “La Educación Superior y sus Perspectivas”</w:t>
      </w:r>
    </w:p>
    <w:p w14:paraId="5BD3134C" w14:textId="77777777" w:rsidR="008B3451" w:rsidRDefault="00E22F6C">
      <w:pPr>
        <w:pStyle w:val="ListParagraph32ce5fc3-9e2d-4dc6-9d8d-6c366ad093d4"/>
        <w:numPr>
          <w:ilvl w:val="0"/>
          <w:numId w:val="2"/>
        </w:numPr>
        <w:spacing w:line="240" w:lineRule="auto"/>
        <w:jc w:val="both"/>
        <w:rPr>
          <w:rFonts w:ascii="Arial" w:hAnsi="Arial" w:cs="Arial"/>
          <w:sz w:val="24"/>
          <w:szCs w:val="24"/>
          <w:lang w:val="es-US"/>
        </w:rPr>
      </w:pPr>
      <w:r>
        <w:rPr>
          <w:rFonts w:ascii="Arial" w:hAnsi="Arial" w:cs="Arial"/>
          <w:sz w:val="24"/>
          <w:szCs w:val="24"/>
        </w:rPr>
        <w:t xml:space="preserve">XI Taller Internacional “La </w:t>
      </w:r>
      <w:r>
        <w:rPr>
          <w:rFonts w:ascii="Arial" w:hAnsi="Arial" w:cs="Arial"/>
          <w:sz w:val="24"/>
          <w:szCs w:val="24"/>
        </w:rPr>
        <w:t>transformación digital y las tecnologías de avanzada en la Educación Superior”</w:t>
      </w:r>
    </w:p>
    <w:p w14:paraId="4B983CBA" w14:textId="77777777" w:rsidR="008B3451" w:rsidRDefault="00E22F6C">
      <w:pPr>
        <w:pStyle w:val="ListParagraph32ce5fc3-9e2d-4dc6-9d8d-6c366ad093d4"/>
        <w:numPr>
          <w:ilvl w:val="0"/>
          <w:numId w:val="2"/>
        </w:numPr>
        <w:spacing w:line="240" w:lineRule="auto"/>
        <w:jc w:val="both"/>
        <w:rPr>
          <w:rFonts w:ascii="Arial" w:hAnsi="Arial" w:cs="Arial"/>
          <w:sz w:val="24"/>
          <w:szCs w:val="24"/>
          <w:lang w:val="es-US"/>
        </w:rPr>
      </w:pPr>
      <w:r>
        <w:rPr>
          <w:rFonts w:ascii="Arial" w:hAnsi="Arial" w:cs="Arial"/>
          <w:sz w:val="24"/>
          <w:szCs w:val="24"/>
        </w:rPr>
        <w:t>XIII Taller de Internacionalización de la Educación Superior.</w:t>
      </w:r>
    </w:p>
    <w:p w14:paraId="2A5E778D" w14:textId="77777777" w:rsidR="008B3451" w:rsidRDefault="00E22F6C">
      <w:pPr>
        <w:pStyle w:val="ListParagraph32ce5fc3-9e2d-4dc6-9d8d-6c366ad093d4"/>
        <w:numPr>
          <w:ilvl w:val="0"/>
          <w:numId w:val="2"/>
        </w:numPr>
        <w:spacing w:after="0" w:line="240" w:lineRule="auto"/>
        <w:jc w:val="both"/>
        <w:rPr>
          <w:rFonts w:ascii="Arial" w:hAnsi="Arial" w:cs="Arial"/>
          <w:sz w:val="24"/>
          <w:szCs w:val="24"/>
          <w:lang w:val="es-US"/>
        </w:rPr>
      </w:pPr>
      <w:r>
        <w:rPr>
          <w:rFonts w:ascii="Arial" w:hAnsi="Arial" w:cs="Arial"/>
          <w:sz w:val="24"/>
          <w:szCs w:val="24"/>
        </w:rPr>
        <w:t>XIV Taller Internacional sobre Financiación de la Educación Superior</w:t>
      </w:r>
    </w:p>
    <w:p w14:paraId="051D16BF" w14:textId="77777777" w:rsidR="008B3451" w:rsidRDefault="00E22F6C">
      <w:pPr>
        <w:pStyle w:val="ListParagraph32ce5fc3-9e2d-4dc6-9d8d-6c366ad093d4"/>
        <w:numPr>
          <w:ilvl w:val="0"/>
          <w:numId w:val="2"/>
        </w:numPr>
        <w:spacing w:after="0" w:line="240" w:lineRule="auto"/>
        <w:jc w:val="both"/>
        <w:rPr>
          <w:rFonts w:ascii="Arial" w:hAnsi="Arial" w:cs="Arial"/>
          <w:sz w:val="24"/>
          <w:szCs w:val="24"/>
          <w:lang w:val="es-US"/>
        </w:rPr>
      </w:pPr>
      <w:r>
        <w:rPr>
          <w:rFonts w:ascii="Arial" w:hAnsi="Arial" w:cs="Arial"/>
          <w:sz w:val="24"/>
          <w:szCs w:val="24"/>
          <w:lang w:val="es-US"/>
        </w:rPr>
        <w:t xml:space="preserve">II Taller “La perspectiva informacional en la </w:t>
      </w:r>
      <w:r>
        <w:rPr>
          <w:rFonts w:ascii="Arial" w:hAnsi="Arial" w:cs="Arial"/>
          <w:sz w:val="24"/>
          <w:szCs w:val="24"/>
          <w:lang w:val="es-US"/>
        </w:rPr>
        <w:t xml:space="preserve">Educación Superior transformadora, de calidad, pertinente y sostenible” </w:t>
      </w:r>
    </w:p>
    <w:p w14:paraId="47FE4B8B" w14:textId="77777777" w:rsidR="008B3451" w:rsidRDefault="00E22F6C">
      <w:pPr>
        <w:pStyle w:val="ListParagraph32ce5fc3-9e2d-4dc6-9d8d-6c366ad093d4"/>
        <w:numPr>
          <w:ilvl w:val="0"/>
          <w:numId w:val="1"/>
        </w:numPr>
        <w:spacing w:line="240" w:lineRule="auto"/>
        <w:jc w:val="both"/>
        <w:rPr>
          <w:rFonts w:ascii="Arial" w:hAnsi="Arial" w:cs="Arial"/>
          <w:b/>
          <w:sz w:val="24"/>
          <w:szCs w:val="24"/>
          <w:lang w:val="es-US"/>
        </w:rPr>
      </w:pPr>
      <w:r>
        <w:rPr>
          <w:rFonts w:ascii="Arial" w:hAnsi="Arial" w:cs="Arial"/>
          <w:b/>
          <w:sz w:val="24"/>
          <w:szCs w:val="24"/>
        </w:rPr>
        <w:t>Simposio 2: “</w:t>
      </w:r>
      <w:r>
        <w:rPr>
          <w:rFonts w:ascii="Arial" w:hAnsi="Arial" w:cs="Arial"/>
          <w:b/>
          <w:sz w:val="24"/>
          <w:szCs w:val="24"/>
          <w:lang w:val="es-EC"/>
        </w:rPr>
        <w:t>La educación de calidad y su sostenibilidad en la gestión del posgrado y el capital humano”</w:t>
      </w:r>
    </w:p>
    <w:p w14:paraId="01A4E925" w14:textId="77777777" w:rsidR="008B3451" w:rsidRDefault="00E22F6C">
      <w:pPr>
        <w:pStyle w:val="ListParagraph32ce5fc3-9e2d-4dc6-9d8d-6c366ad093d4"/>
        <w:numPr>
          <w:ilvl w:val="1"/>
          <w:numId w:val="3"/>
        </w:numPr>
        <w:spacing w:line="240" w:lineRule="auto"/>
        <w:jc w:val="both"/>
        <w:rPr>
          <w:rFonts w:ascii="Arial" w:hAnsi="Arial" w:cs="Arial"/>
          <w:sz w:val="24"/>
          <w:szCs w:val="24"/>
          <w:lang w:val="es-US"/>
        </w:rPr>
      </w:pPr>
      <w:r>
        <w:rPr>
          <w:rFonts w:ascii="Arial" w:hAnsi="Arial" w:cs="Arial"/>
          <w:sz w:val="24"/>
          <w:szCs w:val="24"/>
        </w:rPr>
        <w:t>XIII Taller Internacional de “Evaluación de la Calidad y Acreditación en la Ed</w:t>
      </w:r>
      <w:r>
        <w:rPr>
          <w:rFonts w:ascii="Arial" w:hAnsi="Arial" w:cs="Arial"/>
          <w:sz w:val="24"/>
          <w:szCs w:val="24"/>
        </w:rPr>
        <w:t>ucación Superior”</w:t>
      </w:r>
    </w:p>
    <w:p w14:paraId="2E90D528" w14:textId="77777777" w:rsidR="008B3451" w:rsidRDefault="00E22F6C">
      <w:pPr>
        <w:pStyle w:val="ListParagraph32ce5fc3-9e2d-4dc6-9d8d-6c366ad093d4"/>
        <w:numPr>
          <w:ilvl w:val="1"/>
          <w:numId w:val="3"/>
        </w:numPr>
        <w:spacing w:after="0" w:line="240" w:lineRule="auto"/>
        <w:jc w:val="both"/>
        <w:rPr>
          <w:rFonts w:ascii="Arial" w:hAnsi="Arial" w:cs="Arial"/>
          <w:sz w:val="24"/>
          <w:szCs w:val="24"/>
          <w:lang w:val="es-US"/>
        </w:rPr>
      </w:pPr>
      <w:r>
        <w:rPr>
          <w:rFonts w:ascii="Arial" w:hAnsi="Arial" w:cs="Arial"/>
          <w:sz w:val="24"/>
          <w:szCs w:val="24"/>
        </w:rPr>
        <w:t>XVIII Taller Internacional de “Formación de posgrado para un desarrollo sostenible”</w:t>
      </w:r>
    </w:p>
    <w:p w14:paraId="054E3986" w14:textId="77777777" w:rsidR="008B3451" w:rsidRDefault="00E22F6C">
      <w:pPr>
        <w:pStyle w:val="ListParagraph32ce5fc3-9e2d-4dc6-9d8d-6c366ad093d4"/>
        <w:numPr>
          <w:ilvl w:val="1"/>
          <w:numId w:val="3"/>
        </w:numPr>
        <w:spacing w:after="0" w:line="240" w:lineRule="auto"/>
        <w:jc w:val="both"/>
        <w:rPr>
          <w:rFonts w:ascii="Arial" w:hAnsi="Arial" w:cs="Arial"/>
          <w:sz w:val="24"/>
          <w:szCs w:val="24"/>
          <w:lang w:val="es-US"/>
        </w:rPr>
      </w:pPr>
      <w:r>
        <w:rPr>
          <w:rFonts w:ascii="Arial" w:hAnsi="Arial" w:cs="Arial"/>
          <w:sz w:val="24"/>
          <w:szCs w:val="24"/>
          <w:lang w:val="es-US"/>
        </w:rPr>
        <w:t>II Taller Internacional sobre “Gestión de los Recursos Humanos y su impacto en la calidad de la Educación Superior”</w:t>
      </w:r>
    </w:p>
    <w:p w14:paraId="25018E6E" w14:textId="77777777" w:rsidR="008B3451" w:rsidRDefault="00E22F6C">
      <w:pPr>
        <w:pStyle w:val="ListParagraph32ce5fc3-9e2d-4dc6-9d8d-6c366ad093d4"/>
        <w:numPr>
          <w:ilvl w:val="0"/>
          <w:numId w:val="1"/>
        </w:numPr>
        <w:spacing w:line="240" w:lineRule="auto"/>
        <w:jc w:val="both"/>
        <w:rPr>
          <w:rFonts w:ascii="Arial" w:hAnsi="Arial" w:cs="Arial"/>
          <w:b/>
          <w:sz w:val="24"/>
          <w:szCs w:val="24"/>
          <w:lang w:val="es-US"/>
        </w:rPr>
      </w:pPr>
      <w:r>
        <w:rPr>
          <w:rFonts w:ascii="Arial" w:hAnsi="Arial" w:cs="Arial"/>
          <w:b/>
          <w:sz w:val="24"/>
          <w:szCs w:val="24"/>
        </w:rPr>
        <w:t xml:space="preserve">Simposio 3: “Extensión universitaria, </w:t>
      </w:r>
      <w:r>
        <w:rPr>
          <w:rFonts w:ascii="Arial" w:hAnsi="Arial" w:cs="Arial"/>
          <w:b/>
          <w:sz w:val="24"/>
          <w:szCs w:val="24"/>
        </w:rPr>
        <w:t>compromiso y transformación social para un desarrollo sostenible”</w:t>
      </w:r>
    </w:p>
    <w:p w14:paraId="47C1CB65" w14:textId="77777777" w:rsidR="008B3451" w:rsidRDefault="00E22F6C">
      <w:pPr>
        <w:pStyle w:val="ListParagraph32ce5fc3-9e2d-4dc6-9d8d-6c366ad093d4"/>
        <w:numPr>
          <w:ilvl w:val="0"/>
          <w:numId w:val="4"/>
        </w:numPr>
        <w:spacing w:line="240" w:lineRule="auto"/>
        <w:jc w:val="both"/>
        <w:rPr>
          <w:rFonts w:ascii="Arial" w:hAnsi="Arial" w:cs="Arial"/>
          <w:sz w:val="24"/>
          <w:szCs w:val="24"/>
          <w:lang w:val="es-US"/>
        </w:rPr>
      </w:pPr>
      <w:r>
        <w:rPr>
          <w:rFonts w:ascii="Arial" w:hAnsi="Arial" w:cs="Arial"/>
          <w:sz w:val="24"/>
          <w:szCs w:val="24"/>
        </w:rPr>
        <w:t>XVIII Taller Internacional de Extensión Universitaria</w:t>
      </w:r>
    </w:p>
    <w:p w14:paraId="70A4B113" w14:textId="77777777" w:rsidR="008B3451" w:rsidRDefault="00E22F6C">
      <w:pPr>
        <w:pStyle w:val="ListParagraph32ce5fc3-9e2d-4dc6-9d8d-6c366ad093d4"/>
        <w:numPr>
          <w:ilvl w:val="0"/>
          <w:numId w:val="4"/>
        </w:numPr>
        <w:spacing w:line="240" w:lineRule="auto"/>
        <w:jc w:val="both"/>
        <w:rPr>
          <w:rFonts w:ascii="Arial" w:hAnsi="Arial" w:cs="Arial"/>
          <w:sz w:val="24"/>
          <w:szCs w:val="24"/>
          <w:lang w:val="es-US"/>
        </w:rPr>
      </w:pPr>
      <w:r>
        <w:rPr>
          <w:rFonts w:ascii="Arial" w:hAnsi="Arial" w:cs="Arial"/>
          <w:sz w:val="24"/>
          <w:szCs w:val="24"/>
        </w:rPr>
        <w:t>III Taller “Actividad Física y Deporte”</w:t>
      </w:r>
    </w:p>
    <w:p w14:paraId="792A2414" w14:textId="77777777" w:rsidR="008B3451" w:rsidRDefault="00E22F6C">
      <w:pPr>
        <w:pStyle w:val="ListParagraph32ce5fc3-9e2d-4dc6-9d8d-6c366ad093d4"/>
        <w:numPr>
          <w:ilvl w:val="0"/>
          <w:numId w:val="4"/>
        </w:numPr>
        <w:spacing w:line="240" w:lineRule="auto"/>
        <w:jc w:val="both"/>
        <w:rPr>
          <w:rFonts w:ascii="Arial" w:hAnsi="Arial" w:cs="Arial"/>
          <w:sz w:val="24"/>
          <w:szCs w:val="24"/>
          <w:lang w:val="es-US"/>
        </w:rPr>
      </w:pPr>
      <w:r>
        <w:rPr>
          <w:rFonts w:ascii="Arial" w:hAnsi="Arial" w:cs="Arial"/>
          <w:sz w:val="24"/>
          <w:szCs w:val="24"/>
        </w:rPr>
        <w:t>IV Taller “Universidad, Envejecimiento y Desarrollo Sostenible”</w:t>
      </w:r>
    </w:p>
    <w:p w14:paraId="60B70EF8" w14:textId="77777777" w:rsidR="008B3451" w:rsidRDefault="00E22F6C">
      <w:pPr>
        <w:pStyle w:val="ListParagraph32ce5fc3-9e2d-4dc6-9d8d-6c366ad093d4"/>
        <w:numPr>
          <w:ilvl w:val="0"/>
          <w:numId w:val="4"/>
        </w:numPr>
        <w:spacing w:after="0" w:line="240" w:lineRule="auto"/>
        <w:jc w:val="both"/>
        <w:rPr>
          <w:rFonts w:ascii="Arial" w:hAnsi="Arial" w:cs="Arial"/>
          <w:sz w:val="24"/>
          <w:szCs w:val="24"/>
          <w:lang w:val="es-US"/>
        </w:rPr>
      </w:pPr>
      <w:r>
        <w:rPr>
          <w:rFonts w:ascii="Arial" w:hAnsi="Arial" w:cs="Arial"/>
          <w:sz w:val="24"/>
          <w:szCs w:val="24"/>
        </w:rPr>
        <w:t xml:space="preserve">IV Taller “Igualdad de Género: </w:t>
      </w:r>
      <w:r>
        <w:rPr>
          <w:rFonts w:ascii="Arial" w:hAnsi="Arial" w:cs="Arial"/>
          <w:sz w:val="24"/>
          <w:szCs w:val="24"/>
        </w:rPr>
        <w:t>Avances y Proyecciones”</w:t>
      </w:r>
    </w:p>
    <w:p w14:paraId="69C63C19" w14:textId="77777777" w:rsidR="008B3451" w:rsidRDefault="00E22F6C">
      <w:pPr>
        <w:pStyle w:val="ListParagraph32ce5fc3-9e2d-4dc6-9d8d-6c366ad093d4"/>
        <w:numPr>
          <w:ilvl w:val="0"/>
          <w:numId w:val="1"/>
        </w:numPr>
        <w:spacing w:line="240" w:lineRule="auto"/>
        <w:jc w:val="both"/>
        <w:rPr>
          <w:rFonts w:ascii="Arial" w:hAnsi="Arial" w:cs="Arial"/>
          <w:sz w:val="24"/>
          <w:szCs w:val="24"/>
          <w:lang w:val="es-US"/>
        </w:rPr>
      </w:pPr>
      <w:r>
        <w:rPr>
          <w:rFonts w:ascii="Arial" w:hAnsi="Arial" w:cs="Arial"/>
          <w:b/>
          <w:sz w:val="24"/>
          <w:szCs w:val="24"/>
        </w:rPr>
        <w:t xml:space="preserve">Simposio 4: “Formación de profesionales competentes desde una perspectiva equitativa e </w:t>
      </w:r>
      <w:r>
        <w:rPr>
          <w:rFonts w:ascii="Arial" w:hAnsi="Arial" w:cs="Arial"/>
          <w:sz w:val="24"/>
          <w:szCs w:val="24"/>
        </w:rPr>
        <w:t xml:space="preserve">inclusiva por un desarrollo sostenible” </w:t>
      </w:r>
    </w:p>
    <w:p w14:paraId="74FC7C85" w14:textId="77777777" w:rsidR="008B3451" w:rsidRDefault="00E22F6C">
      <w:pPr>
        <w:pStyle w:val="ListParagraph32ce5fc3-9e2d-4dc6-9d8d-6c366ad093d4"/>
        <w:numPr>
          <w:ilvl w:val="0"/>
          <w:numId w:val="5"/>
        </w:numPr>
        <w:spacing w:line="240" w:lineRule="auto"/>
        <w:jc w:val="both"/>
        <w:rPr>
          <w:rFonts w:ascii="Arial" w:hAnsi="Arial" w:cs="Arial"/>
          <w:sz w:val="24"/>
          <w:szCs w:val="24"/>
          <w:lang w:val="es-US"/>
        </w:rPr>
      </w:pPr>
      <w:r>
        <w:rPr>
          <w:rFonts w:ascii="Arial" w:hAnsi="Arial" w:cs="Arial"/>
          <w:sz w:val="24"/>
          <w:szCs w:val="24"/>
        </w:rPr>
        <w:t>XV Taller Internacional de “Pedagogía de la Educación Superior”</w:t>
      </w:r>
    </w:p>
    <w:p w14:paraId="1541FAAC" w14:textId="77777777" w:rsidR="008B3451" w:rsidRDefault="00E22F6C">
      <w:pPr>
        <w:pStyle w:val="ListParagraph32ce5fc3-9e2d-4dc6-9d8d-6c366ad093d4"/>
        <w:numPr>
          <w:ilvl w:val="0"/>
          <w:numId w:val="5"/>
        </w:numPr>
        <w:spacing w:line="240" w:lineRule="auto"/>
        <w:jc w:val="both"/>
        <w:rPr>
          <w:rFonts w:ascii="Arial" w:hAnsi="Arial" w:cs="Arial"/>
          <w:sz w:val="24"/>
          <w:szCs w:val="24"/>
          <w:lang w:val="es-US"/>
        </w:rPr>
      </w:pPr>
      <w:r>
        <w:rPr>
          <w:rFonts w:ascii="Arial" w:hAnsi="Arial" w:cs="Arial"/>
          <w:sz w:val="24"/>
          <w:szCs w:val="24"/>
        </w:rPr>
        <w:t>XI Taller Internacional sobre la “Formac</w:t>
      </w:r>
      <w:r>
        <w:rPr>
          <w:rFonts w:ascii="Arial" w:hAnsi="Arial" w:cs="Arial"/>
          <w:sz w:val="24"/>
          <w:szCs w:val="24"/>
        </w:rPr>
        <w:t>ión Universitaria de Profesionales de la Educación”</w:t>
      </w:r>
    </w:p>
    <w:p w14:paraId="1F3A51CF" w14:textId="77777777" w:rsidR="008B3451" w:rsidRDefault="00E22F6C">
      <w:pPr>
        <w:pStyle w:val="ListParagraph32ce5fc3-9e2d-4dc6-9d8d-6c366ad093d4"/>
        <w:numPr>
          <w:ilvl w:val="0"/>
          <w:numId w:val="5"/>
        </w:numPr>
        <w:spacing w:line="240" w:lineRule="auto"/>
        <w:jc w:val="both"/>
        <w:rPr>
          <w:rFonts w:ascii="Arial" w:hAnsi="Arial" w:cs="Arial"/>
          <w:sz w:val="24"/>
          <w:szCs w:val="24"/>
          <w:lang w:val="es-US"/>
        </w:rPr>
      </w:pPr>
      <w:r>
        <w:rPr>
          <w:rFonts w:ascii="Arial" w:hAnsi="Arial" w:cs="Arial"/>
          <w:sz w:val="24"/>
          <w:szCs w:val="24"/>
        </w:rPr>
        <w:t xml:space="preserve">VII Taller sobre “La Enseñanza de las Artes en la Educación Superior”.  </w:t>
      </w:r>
    </w:p>
    <w:p w14:paraId="1B6123F4" w14:textId="77777777" w:rsidR="008B3451" w:rsidRDefault="00E22F6C">
      <w:pPr>
        <w:pStyle w:val="ListParagraph32ce5fc3-9e2d-4dc6-9d8d-6c366ad093d4"/>
        <w:numPr>
          <w:ilvl w:val="0"/>
          <w:numId w:val="5"/>
        </w:numPr>
        <w:spacing w:line="240" w:lineRule="auto"/>
        <w:jc w:val="both"/>
        <w:rPr>
          <w:rFonts w:ascii="Arial" w:hAnsi="Arial" w:cs="Arial"/>
          <w:sz w:val="24"/>
          <w:szCs w:val="24"/>
          <w:lang w:val="es-US"/>
        </w:rPr>
      </w:pPr>
      <w:r>
        <w:rPr>
          <w:rFonts w:ascii="Arial" w:hAnsi="Arial" w:cs="Arial"/>
          <w:sz w:val="24"/>
          <w:szCs w:val="24"/>
        </w:rPr>
        <w:t>XI Taller Internacional “La Educación Médica: Retos y Perspectivas”</w:t>
      </w:r>
    </w:p>
    <w:p w14:paraId="78AD127E" w14:textId="77777777" w:rsidR="008B3451" w:rsidRDefault="00E22F6C">
      <w:pPr>
        <w:pStyle w:val="ListParagraph32ce5fc3-9e2d-4dc6-9d8d-6c366ad093d4"/>
        <w:numPr>
          <w:ilvl w:val="0"/>
          <w:numId w:val="5"/>
        </w:numPr>
        <w:spacing w:after="0" w:line="240" w:lineRule="auto"/>
        <w:jc w:val="both"/>
        <w:rPr>
          <w:rFonts w:ascii="Arial" w:hAnsi="Arial" w:cs="Arial"/>
          <w:sz w:val="24"/>
          <w:szCs w:val="24"/>
          <w:lang w:val="es-US"/>
        </w:rPr>
      </w:pPr>
      <w:r>
        <w:rPr>
          <w:rFonts w:ascii="Arial" w:hAnsi="Arial" w:cs="Arial"/>
          <w:sz w:val="24"/>
          <w:szCs w:val="24"/>
        </w:rPr>
        <w:t xml:space="preserve">VIII Taller Internacional de “Didáctica de las Ciencias </w:t>
      </w:r>
      <w:r>
        <w:rPr>
          <w:rFonts w:ascii="Arial" w:hAnsi="Arial" w:cs="Arial"/>
          <w:sz w:val="24"/>
          <w:szCs w:val="24"/>
        </w:rPr>
        <w:t>Básicas, Ingeniería y Arquitectura”</w:t>
      </w:r>
    </w:p>
    <w:p w14:paraId="22AB5739" w14:textId="77777777" w:rsidR="008B3451" w:rsidRDefault="00E22F6C">
      <w:pPr>
        <w:pStyle w:val="ListParagraph32ce5fc3-9e2d-4dc6-9d8d-6c366ad093d4"/>
        <w:numPr>
          <w:ilvl w:val="0"/>
          <w:numId w:val="1"/>
        </w:numPr>
        <w:spacing w:line="240" w:lineRule="auto"/>
        <w:jc w:val="both"/>
        <w:rPr>
          <w:rFonts w:ascii="Arial" w:hAnsi="Arial" w:cs="Arial"/>
          <w:b/>
          <w:sz w:val="24"/>
          <w:szCs w:val="24"/>
          <w:lang w:val="es-US"/>
        </w:rPr>
      </w:pPr>
      <w:r>
        <w:rPr>
          <w:rFonts w:ascii="Arial" w:hAnsi="Arial" w:cs="Arial"/>
          <w:b/>
          <w:sz w:val="24"/>
          <w:szCs w:val="24"/>
        </w:rPr>
        <w:t>Simposio 5: “Universidad, conocimiento e innovación para el desarrollo sostenible”</w:t>
      </w:r>
    </w:p>
    <w:p w14:paraId="223DEB78" w14:textId="77777777" w:rsidR="008B3451" w:rsidRDefault="00E22F6C">
      <w:pPr>
        <w:pStyle w:val="ListParagraph32ce5fc3-9e2d-4dc6-9d8d-6c366ad093d4"/>
        <w:numPr>
          <w:ilvl w:val="0"/>
          <w:numId w:val="6"/>
        </w:numPr>
        <w:spacing w:line="240" w:lineRule="auto"/>
        <w:jc w:val="both"/>
        <w:rPr>
          <w:rFonts w:ascii="Arial" w:hAnsi="Arial" w:cs="Arial"/>
          <w:sz w:val="24"/>
          <w:szCs w:val="24"/>
          <w:lang w:val="es-US"/>
        </w:rPr>
      </w:pPr>
      <w:r>
        <w:rPr>
          <w:rFonts w:ascii="Arial" w:hAnsi="Arial" w:cs="Arial"/>
          <w:sz w:val="24"/>
          <w:szCs w:val="24"/>
        </w:rPr>
        <w:t>XV Taller Internacional “Universidad, Medio Ambiente, Energía y Desarrollo Sostenible”</w:t>
      </w:r>
    </w:p>
    <w:p w14:paraId="3C7F1231" w14:textId="77777777" w:rsidR="008B3451" w:rsidRDefault="00E22F6C">
      <w:pPr>
        <w:pStyle w:val="ListParagraph32ce5fc3-9e2d-4dc6-9d8d-6c366ad093d4"/>
        <w:numPr>
          <w:ilvl w:val="0"/>
          <w:numId w:val="6"/>
        </w:numPr>
        <w:spacing w:line="240" w:lineRule="auto"/>
        <w:jc w:val="both"/>
        <w:rPr>
          <w:rFonts w:ascii="Arial" w:hAnsi="Arial" w:cs="Arial"/>
          <w:sz w:val="24"/>
          <w:szCs w:val="24"/>
          <w:lang w:val="es-US"/>
        </w:rPr>
      </w:pPr>
      <w:r>
        <w:rPr>
          <w:rFonts w:ascii="Arial" w:hAnsi="Arial" w:cs="Arial"/>
          <w:sz w:val="24"/>
          <w:szCs w:val="24"/>
        </w:rPr>
        <w:lastRenderedPageBreak/>
        <w:t xml:space="preserve">III Taller Internacional “Las ciencias sociales y </w:t>
      </w:r>
      <w:r>
        <w:rPr>
          <w:rFonts w:ascii="Arial" w:hAnsi="Arial" w:cs="Arial"/>
          <w:sz w:val="24"/>
          <w:szCs w:val="24"/>
        </w:rPr>
        <w:t>humanísticas: perspectivas del desarrollo de la sociedad contemporánea desde la universidad”</w:t>
      </w:r>
    </w:p>
    <w:p w14:paraId="71E9B318" w14:textId="77777777" w:rsidR="008B3451" w:rsidRDefault="00E22F6C">
      <w:pPr>
        <w:pStyle w:val="ListParagraph32ce5fc3-9e2d-4dc6-9d8d-6c366ad093d4"/>
        <w:numPr>
          <w:ilvl w:val="0"/>
          <w:numId w:val="6"/>
        </w:numPr>
        <w:spacing w:line="240" w:lineRule="auto"/>
        <w:jc w:val="both"/>
        <w:rPr>
          <w:rFonts w:ascii="Arial" w:hAnsi="Arial" w:cs="Arial"/>
          <w:sz w:val="24"/>
          <w:szCs w:val="24"/>
          <w:lang w:val="es-US"/>
        </w:rPr>
      </w:pPr>
      <w:r>
        <w:rPr>
          <w:rFonts w:ascii="Arial" w:hAnsi="Arial" w:cs="Arial"/>
          <w:sz w:val="24"/>
          <w:szCs w:val="24"/>
        </w:rPr>
        <w:t>XV Taller Internacional “Universidad, Ciencia y Tecnología”</w:t>
      </w:r>
    </w:p>
    <w:p w14:paraId="2D88A2FF" w14:textId="77777777" w:rsidR="008B3451" w:rsidRDefault="00E22F6C">
      <w:pPr>
        <w:pStyle w:val="ListParagraph32ce5fc3-9e2d-4dc6-9d8d-6c366ad093d4"/>
        <w:numPr>
          <w:ilvl w:val="0"/>
          <w:numId w:val="6"/>
        </w:numPr>
        <w:spacing w:line="240" w:lineRule="auto"/>
        <w:jc w:val="both"/>
        <w:rPr>
          <w:rFonts w:ascii="Arial" w:hAnsi="Arial" w:cs="Arial"/>
          <w:sz w:val="24"/>
          <w:szCs w:val="24"/>
          <w:lang w:val="es-US"/>
        </w:rPr>
      </w:pPr>
      <w:r>
        <w:rPr>
          <w:rFonts w:ascii="Arial" w:hAnsi="Arial" w:cs="Arial"/>
          <w:sz w:val="24"/>
          <w:szCs w:val="24"/>
        </w:rPr>
        <w:t xml:space="preserve">IX Taller Internacional “Universidad, Seguridad y Soberanía Alimentaria” </w:t>
      </w:r>
    </w:p>
    <w:p w14:paraId="6DE1CD1A" w14:textId="77777777" w:rsidR="008B3451" w:rsidRDefault="00E22F6C">
      <w:pPr>
        <w:pStyle w:val="ListParagraph32ce5fc3-9e2d-4dc6-9d8d-6c366ad093d4"/>
        <w:numPr>
          <w:ilvl w:val="0"/>
          <w:numId w:val="6"/>
        </w:numPr>
        <w:spacing w:line="240" w:lineRule="auto"/>
        <w:jc w:val="both"/>
        <w:rPr>
          <w:rFonts w:ascii="Arial" w:hAnsi="Arial" w:cs="Arial"/>
          <w:sz w:val="24"/>
          <w:szCs w:val="24"/>
          <w:lang w:val="es-US"/>
        </w:rPr>
      </w:pPr>
      <w:r>
        <w:rPr>
          <w:rFonts w:ascii="Arial" w:hAnsi="Arial" w:cs="Arial"/>
          <w:sz w:val="24"/>
          <w:szCs w:val="24"/>
        </w:rPr>
        <w:t>II Taller Internacional sobre</w:t>
      </w:r>
      <w:r>
        <w:rPr>
          <w:rFonts w:ascii="Arial" w:hAnsi="Arial" w:cs="Arial"/>
          <w:sz w:val="24"/>
          <w:szCs w:val="24"/>
        </w:rPr>
        <w:t xml:space="preserve"> Ciencia Abierta en la Educación Superior </w:t>
      </w:r>
    </w:p>
    <w:p w14:paraId="0A864EB1" w14:textId="77777777" w:rsidR="008B3451" w:rsidRDefault="00E22F6C">
      <w:pPr>
        <w:pStyle w:val="ListParagraph32ce5fc3-9e2d-4dc6-9d8d-6c366ad093d4"/>
        <w:numPr>
          <w:ilvl w:val="0"/>
          <w:numId w:val="6"/>
        </w:numPr>
        <w:spacing w:after="0" w:line="240" w:lineRule="auto"/>
        <w:jc w:val="both"/>
        <w:rPr>
          <w:rFonts w:ascii="Arial" w:hAnsi="Arial" w:cs="Arial"/>
          <w:sz w:val="24"/>
          <w:szCs w:val="24"/>
          <w:lang w:val="es-US"/>
        </w:rPr>
      </w:pPr>
      <w:r>
        <w:rPr>
          <w:rFonts w:ascii="Arial" w:hAnsi="Arial" w:cs="Arial"/>
          <w:sz w:val="24"/>
          <w:szCs w:val="24"/>
          <w:lang w:val="es-US"/>
        </w:rPr>
        <w:t xml:space="preserve">I Taller Internacional “Conocimiento, innovación y desarrollo territorial sostenible” </w:t>
      </w:r>
    </w:p>
    <w:p w14:paraId="5D8593AC" w14:textId="77777777" w:rsidR="008B3451" w:rsidRDefault="008B3451">
      <w:pPr>
        <w:pStyle w:val="ListParagraph32ce5fc3-9e2d-4dc6-9d8d-6c366ad093d4"/>
        <w:spacing w:line="240" w:lineRule="auto"/>
        <w:ind w:left="0"/>
        <w:rPr>
          <w:rFonts w:ascii="Arial" w:hAnsi="Arial" w:cs="Arial"/>
          <w:b/>
          <w:sz w:val="24"/>
          <w:szCs w:val="24"/>
          <w:lang w:val="es-US"/>
        </w:rPr>
      </w:pPr>
    </w:p>
    <w:p w14:paraId="687F103D" w14:textId="77777777" w:rsidR="008B3451" w:rsidRDefault="00E22F6C">
      <w:pPr>
        <w:pStyle w:val="ListParagraph32ce5fc3-9e2d-4dc6-9d8d-6c366ad093d4"/>
        <w:numPr>
          <w:ilvl w:val="0"/>
          <w:numId w:val="1"/>
        </w:numPr>
        <w:spacing w:line="240" w:lineRule="auto"/>
        <w:jc w:val="both"/>
        <w:rPr>
          <w:rFonts w:ascii="Arial" w:hAnsi="Arial" w:cs="Arial"/>
          <w:b/>
          <w:sz w:val="24"/>
          <w:szCs w:val="24"/>
          <w:lang w:val="es-US"/>
        </w:rPr>
      </w:pPr>
      <w:r>
        <w:rPr>
          <w:rFonts w:ascii="Arial" w:hAnsi="Arial" w:cs="Arial"/>
          <w:b/>
          <w:sz w:val="24"/>
          <w:szCs w:val="24"/>
        </w:rPr>
        <w:t>Simposio 6: “Relación Universidad-Empresa, motor impulsor de la ciencia, la innovación y la pertinencia de la educación super</w:t>
      </w:r>
      <w:r>
        <w:rPr>
          <w:rFonts w:ascii="Arial" w:hAnsi="Arial" w:cs="Arial"/>
          <w:b/>
          <w:sz w:val="24"/>
          <w:szCs w:val="24"/>
        </w:rPr>
        <w:t>ior”</w:t>
      </w:r>
    </w:p>
    <w:p w14:paraId="6D9EDD6F" w14:textId="77777777" w:rsidR="008B3451" w:rsidRDefault="00E22F6C">
      <w:pPr>
        <w:pStyle w:val="ListParagraph32ce5fc3-9e2d-4dc6-9d8d-6c366ad093d4"/>
        <w:numPr>
          <w:ilvl w:val="0"/>
          <w:numId w:val="7"/>
        </w:numPr>
        <w:spacing w:line="240" w:lineRule="auto"/>
        <w:jc w:val="both"/>
        <w:rPr>
          <w:rFonts w:ascii="Arial" w:hAnsi="Arial" w:cs="Arial"/>
          <w:sz w:val="24"/>
          <w:szCs w:val="24"/>
          <w:lang w:val="es-US"/>
        </w:rPr>
      </w:pPr>
      <w:r>
        <w:rPr>
          <w:rFonts w:ascii="Arial" w:hAnsi="Arial" w:cs="Arial"/>
          <w:sz w:val="24"/>
          <w:szCs w:val="24"/>
        </w:rPr>
        <w:t>III Taller Internacional: Vínculo de las Universidades con las Empresas de producción de bienes y servicios: una visión estratégica para el desarrollo sostenible”</w:t>
      </w:r>
    </w:p>
    <w:p w14:paraId="02A1CD09" w14:textId="77777777" w:rsidR="008B3451" w:rsidRDefault="00E22F6C">
      <w:pPr>
        <w:pStyle w:val="ListParagraph32ce5fc3-9e2d-4dc6-9d8d-6c366ad093d4"/>
        <w:numPr>
          <w:ilvl w:val="0"/>
          <w:numId w:val="7"/>
        </w:numPr>
        <w:spacing w:line="240" w:lineRule="auto"/>
        <w:jc w:val="both"/>
        <w:rPr>
          <w:rFonts w:ascii="Arial" w:hAnsi="Arial" w:cs="Arial"/>
          <w:sz w:val="24"/>
          <w:szCs w:val="24"/>
          <w:lang w:val="es-US"/>
        </w:rPr>
      </w:pPr>
      <w:r>
        <w:rPr>
          <w:rFonts w:ascii="Arial" w:hAnsi="Arial" w:cs="Arial"/>
          <w:sz w:val="24"/>
          <w:szCs w:val="24"/>
        </w:rPr>
        <w:t xml:space="preserve"> I Taller Internacional: “Conectando ecosistemas para el desarrollo sostenible”</w:t>
      </w:r>
    </w:p>
    <w:p w14:paraId="1443805A" w14:textId="77777777" w:rsidR="008B3451" w:rsidRDefault="00E22F6C">
      <w:pPr>
        <w:pStyle w:val="ListParagraph32ce5fc3-9e2d-4dc6-9d8d-6c366ad093d4"/>
        <w:numPr>
          <w:ilvl w:val="0"/>
          <w:numId w:val="7"/>
        </w:numPr>
        <w:spacing w:after="0" w:line="240" w:lineRule="auto"/>
        <w:jc w:val="both"/>
        <w:rPr>
          <w:rFonts w:ascii="Arial" w:hAnsi="Arial" w:cs="Arial"/>
          <w:sz w:val="24"/>
          <w:szCs w:val="24"/>
          <w:lang w:val="es-US"/>
        </w:rPr>
      </w:pPr>
      <w:r>
        <w:rPr>
          <w:rFonts w:ascii="Arial" w:hAnsi="Arial" w:cs="Arial"/>
          <w:sz w:val="24"/>
          <w:szCs w:val="24"/>
        </w:rPr>
        <w:t xml:space="preserve"> I Talle</w:t>
      </w:r>
      <w:r>
        <w:rPr>
          <w:rFonts w:ascii="Arial" w:hAnsi="Arial" w:cs="Arial"/>
          <w:sz w:val="24"/>
          <w:szCs w:val="24"/>
        </w:rPr>
        <w:t>r Internacional: “La tercerización de los servicios universitarios no académicos y su incidencia en la pertinencia de las universidades”</w:t>
      </w:r>
    </w:p>
    <w:p w14:paraId="32E1BC11" w14:textId="77777777" w:rsidR="008B3451" w:rsidRDefault="008B3451">
      <w:pPr>
        <w:spacing w:after="0" w:line="259" w:lineRule="auto"/>
        <w:ind w:left="0" w:right="0" w:firstLine="0"/>
        <w:jc w:val="left"/>
        <w:rPr>
          <w:szCs w:val="24"/>
        </w:rPr>
      </w:pPr>
    </w:p>
    <w:p w14:paraId="18F898C4" w14:textId="77777777" w:rsidR="008B3451" w:rsidRDefault="008B3451">
      <w:pPr>
        <w:spacing w:after="0" w:line="259" w:lineRule="auto"/>
        <w:ind w:left="0" w:right="0" w:firstLine="0"/>
        <w:jc w:val="left"/>
        <w:rPr>
          <w:szCs w:val="24"/>
        </w:rPr>
      </w:pPr>
    </w:p>
    <w:p w14:paraId="140960B6" w14:textId="77777777" w:rsidR="008B3451" w:rsidRDefault="008B3451">
      <w:pPr>
        <w:spacing w:after="0" w:line="259" w:lineRule="auto"/>
        <w:ind w:left="0" w:right="0" w:firstLine="0"/>
        <w:jc w:val="left"/>
        <w:rPr>
          <w:szCs w:val="24"/>
        </w:rPr>
      </w:pPr>
    </w:p>
    <w:p w14:paraId="46CFE0DC" w14:textId="77777777" w:rsidR="008B3451" w:rsidRDefault="00E22F6C">
      <w:pPr>
        <w:spacing w:after="0" w:line="259" w:lineRule="auto"/>
        <w:ind w:left="0" w:right="0" w:firstLine="0"/>
        <w:jc w:val="left"/>
        <w:rPr>
          <w:szCs w:val="24"/>
        </w:rPr>
      </w:pPr>
      <w:r>
        <w:rPr>
          <w:b/>
          <w:szCs w:val="24"/>
        </w:rPr>
        <w:t xml:space="preserve"> Anexo No. 1. Normas de presentación de trabajos</w:t>
      </w:r>
      <w:r>
        <w:rPr>
          <w:szCs w:val="24"/>
        </w:rPr>
        <w:t xml:space="preserve">.  </w:t>
      </w:r>
    </w:p>
    <w:p w14:paraId="2FF24159" w14:textId="77777777" w:rsidR="008B3451" w:rsidRDefault="00E22F6C">
      <w:pPr>
        <w:spacing w:after="0" w:line="259" w:lineRule="auto"/>
        <w:ind w:left="0" w:right="0" w:firstLine="0"/>
        <w:jc w:val="left"/>
        <w:rPr>
          <w:szCs w:val="24"/>
        </w:rPr>
      </w:pPr>
      <w:r>
        <w:rPr>
          <w:szCs w:val="24"/>
        </w:rPr>
        <w:t xml:space="preserve"> </w:t>
      </w:r>
    </w:p>
    <w:p w14:paraId="7BC1BC9C" w14:textId="77777777" w:rsidR="008B3451" w:rsidRDefault="00E22F6C">
      <w:pPr>
        <w:spacing w:after="0" w:line="360" w:lineRule="auto"/>
        <w:ind w:right="0"/>
        <w:rPr>
          <w:szCs w:val="24"/>
        </w:rPr>
      </w:pPr>
      <w:r>
        <w:rPr>
          <w:szCs w:val="24"/>
        </w:rPr>
        <w:t xml:space="preserve">Los trabajos deben entregarse en ficheros PDF, escritos en tipografía </w:t>
      </w:r>
      <w:r>
        <w:rPr>
          <w:szCs w:val="24"/>
          <w:lang w:val="es-ES"/>
        </w:rPr>
        <w:t>Verdana</w:t>
      </w:r>
      <w:r>
        <w:rPr>
          <w:szCs w:val="24"/>
        </w:rPr>
        <w:t>, a 1</w:t>
      </w:r>
      <w:r>
        <w:rPr>
          <w:szCs w:val="24"/>
          <w:lang w:val="es-ES"/>
        </w:rPr>
        <w:t xml:space="preserve">0 </w:t>
      </w:r>
      <w:r>
        <w:rPr>
          <w:szCs w:val="24"/>
        </w:rPr>
        <w:t>puntos, a un espacio de interlineado, tamaño carta (8 ½ x 11 o 21.59 cm. x 27.94 cm.) y márgenes de 2.5 cm. por cada lado. La alineación de los párrafos es justificada y la</w:t>
      </w:r>
      <w:r>
        <w:rPr>
          <w:szCs w:val="24"/>
        </w:rPr>
        <w:t xml:space="preserve"> extensión máxima de los trabajos es de 10 cuartillas (incluidos los anexos). </w:t>
      </w:r>
    </w:p>
    <w:p w14:paraId="526D9F3D" w14:textId="77777777" w:rsidR="008B3451" w:rsidRDefault="00E22F6C">
      <w:pPr>
        <w:spacing w:after="124"/>
        <w:ind w:left="-5" w:right="0"/>
        <w:rPr>
          <w:szCs w:val="24"/>
        </w:rPr>
      </w:pPr>
      <w:r>
        <w:rPr>
          <w:b/>
          <w:szCs w:val="24"/>
        </w:rPr>
        <w:t xml:space="preserve">Formato de los trabajos: </w:t>
      </w:r>
    </w:p>
    <w:p w14:paraId="5282B6A9" w14:textId="77777777" w:rsidR="008B3451" w:rsidRDefault="00E22F6C">
      <w:pPr>
        <w:numPr>
          <w:ilvl w:val="0"/>
          <w:numId w:val="9"/>
        </w:numPr>
        <w:spacing w:after="0" w:line="325" w:lineRule="auto"/>
        <w:ind w:right="0" w:hanging="360"/>
        <w:rPr>
          <w:szCs w:val="24"/>
        </w:rPr>
      </w:pPr>
      <w:r>
        <w:rPr>
          <w:szCs w:val="24"/>
        </w:rPr>
        <w:t xml:space="preserve">Título (en mayúscula y no más de 15 palabras). (En español e inglés) </w:t>
      </w:r>
      <w:r>
        <w:rPr>
          <w:rFonts w:eastAsia="Segoe UI Symbol"/>
          <w:szCs w:val="24"/>
        </w:rPr>
        <w:t></w:t>
      </w:r>
      <w:r>
        <w:rPr>
          <w:szCs w:val="24"/>
        </w:rPr>
        <w:t xml:space="preserve"> Autor y coautores (</w:t>
      </w:r>
      <w:r>
        <w:rPr>
          <w:b/>
          <w:szCs w:val="24"/>
        </w:rPr>
        <w:t>no más de tres</w:t>
      </w:r>
      <w:r>
        <w:rPr>
          <w:szCs w:val="24"/>
        </w:rPr>
        <w:t xml:space="preserve">), con sus correos electrónicos.  </w:t>
      </w:r>
    </w:p>
    <w:p w14:paraId="7BA64084" w14:textId="77777777" w:rsidR="008B3451" w:rsidRDefault="00E22F6C">
      <w:pPr>
        <w:numPr>
          <w:ilvl w:val="0"/>
          <w:numId w:val="9"/>
        </w:numPr>
        <w:spacing w:after="15" w:line="361" w:lineRule="auto"/>
        <w:ind w:right="0" w:hanging="360"/>
        <w:rPr>
          <w:szCs w:val="24"/>
        </w:rPr>
      </w:pPr>
      <w:r>
        <w:rPr>
          <w:szCs w:val="24"/>
        </w:rPr>
        <w:t xml:space="preserve">Institución </w:t>
      </w:r>
      <w:r>
        <w:rPr>
          <w:szCs w:val="24"/>
        </w:rPr>
        <w:t xml:space="preserve">y país por autores y coautores (si tiene cargos en la institución lo debe aclarar, por ejemplo, si es jefe de Departamento, Director, Decano, Vicerrector o Rector y si tiene grado científico de Máster o Doctor).  </w:t>
      </w:r>
    </w:p>
    <w:p w14:paraId="340600F7" w14:textId="77777777" w:rsidR="008B3451" w:rsidRDefault="00E22F6C">
      <w:pPr>
        <w:numPr>
          <w:ilvl w:val="0"/>
          <w:numId w:val="9"/>
        </w:numPr>
        <w:spacing w:after="79"/>
        <w:ind w:right="0" w:hanging="360"/>
        <w:rPr>
          <w:szCs w:val="24"/>
        </w:rPr>
      </w:pPr>
      <w:r>
        <w:rPr>
          <w:szCs w:val="24"/>
        </w:rPr>
        <w:t>Resumen del trabajo (extensión máxima de 2</w:t>
      </w:r>
      <w:r>
        <w:rPr>
          <w:szCs w:val="24"/>
        </w:rPr>
        <w:t xml:space="preserve">50 palabras). (En español e inglés) </w:t>
      </w:r>
    </w:p>
    <w:p w14:paraId="655FC4B1" w14:textId="77777777" w:rsidR="008B3451" w:rsidRDefault="00E22F6C">
      <w:pPr>
        <w:numPr>
          <w:ilvl w:val="0"/>
          <w:numId w:val="9"/>
        </w:numPr>
        <w:spacing w:after="81"/>
        <w:ind w:right="0" w:hanging="360"/>
        <w:rPr>
          <w:szCs w:val="24"/>
        </w:rPr>
      </w:pPr>
      <w:r>
        <w:rPr>
          <w:szCs w:val="24"/>
        </w:rPr>
        <w:t>Palabras claves. (En español e inglés)</w:t>
      </w:r>
    </w:p>
    <w:p w14:paraId="2609A6A6" w14:textId="77777777" w:rsidR="008B3451" w:rsidRDefault="00E22F6C">
      <w:pPr>
        <w:numPr>
          <w:ilvl w:val="0"/>
          <w:numId w:val="9"/>
        </w:numPr>
        <w:spacing w:after="16" w:line="360" w:lineRule="auto"/>
        <w:ind w:right="0" w:hanging="360"/>
        <w:rPr>
          <w:szCs w:val="24"/>
        </w:rPr>
      </w:pPr>
      <w:r>
        <w:rPr>
          <w:szCs w:val="24"/>
        </w:rPr>
        <w:t xml:space="preserve">Texto del trabajo (debe tener una introducción donde se precisen claramente los objetivos del trabajo, el desarrollo del trabajo agrupado en epígrafes, las conclusiones, las </w:t>
      </w:r>
      <w:r>
        <w:rPr>
          <w:szCs w:val="24"/>
        </w:rPr>
        <w:lastRenderedPageBreak/>
        <w:t xml:space="preserve">referencias bibliográficas y, además, si lo requiere los anexos, donde aparecen las tablas y figuras). </w:t>
      </w:r>
    </w:p>
    <w:p w14:paraId="5B4AFACE" w14:textId="77777777" w:rsidR="008B3451" w:rsidRDefault="00E22F6C">
      <w:pPr>
        <w:numPr>
          <w:ilvl w:val="0"/>
          <w:numId w:val="9"/>
        </w:numPr>
        <w:ind w:right="0" w:hanging="360"/>
        <w:rPr>
          <w:szCs w:val="24"/>
        </w:rPr>
      </w:pPr>
      <w:r>
        <w:rPr>
          <w:szCs w:val="24"/>
        </w:rPr>
        <w:t>La norma a emplear para realizar los asentamientos bibliográficos será la norma APA</w:t>
      </w:r>
      <w:r>
        <w:rPr>
          <w:szCs w:val="24"/>
          <w:lang w:val="es-ES"/>
        </w:rPr>
        <w:t xml:space="preserve"> </w:t>
      </w:r>
      <w:proofErr w:type="gramStart"/>
      <w:r>
        <w:rPr>
          <w:szCs w:val="24"/>
          <w:lang w:val="es-ES"/>
        </w:rPr>
        <w:t>7</w:t>
      </w:r>
      <w:r>
        <w:rPr>
          <w:szCs w:val="24"/>
          <w:vertAlign w:val="superscript"/>
          <w:lang w:val="es-ES"/>
        </w:rPr>
        <w:t>ma</w:t>
      </w:r>
      <w:r>
        <w:rPr>
          <w:szCs w:val="24"/>
          <w:lang w:val="es-ES"/>
        </w:rPr>
        <w:t xml:space="preserve">  edición</w:t>
      </w:r>
      <w:proofErr w:type="gramEnd"/>
      <w:r>
        <w:rPr>
          <w:szCs w:val="24"/>
        </w:rPr>
        <w:t xml:space="preserve">. </w:t>
      </w:r>
    </w:p>
    <w:p w14:paraId="66849C22" w14:textId="77777777" w:rsidR="008B3451" w:rsidRDefault="00E22F6C">
      <w:pPr>
        <w:spacing w:after="0" w:line="360" w:lineRule="auto"/>
        <w:ind w:left="355" w:right="0"/>
        <w:rPr>
          <w:szCs w:val="24"/>
        </w:rPr>
      </w:pPr>
      <w:r>
        <w:rPr>
          <w:b/>
          <w:szCs w:val="24"/>
        </w:rPr>
        <w:t>Idiomas de los trabajos.</w:t>
      </w:r>
      <w:r>
        <w:rPr>
          <w:szCs w:val="24"/>
        </w:rPr>
        <w:t xml:space="preserve"> Los trabajos pueden estar escritos en español, inglés o portugués. </w:t>
      </w:r>
      <w:r>
        <w:rPr>
          <w:b/>
          <w:szCs w:val="24"/>
        </w:rPr>
        <w:t>El título, el resumen y las palabras claves estarán en el mismo idioma</w:t>
      </w:r>
      <w:r>
        <w:rPr>
          <w:szCs w:val="24"/>
        </w:rPr>
        <w:t xml:space="preserve"> que el trabajo, pero en los casos de español y portugués debe adicionarse la traducción al inglés y en el caso de los</w:t>
      </w:r>
      <w:r>
        <w:rPr>
          <w:szCs w:val="24"/>
        </w:rPr>
        <w:t xml:space="preserve"> trabajos presentados en inglés adjuntarán estos elementos en español.  </w:t>
      </w:r>
    </w:p>
    <w:p w14:paraId="0866A264" w14:textId="77777777" w:rsidR="008B3451" w:rsidRDefault="00E22F6C">
      <w:pPr>
        <w:spacing w:after="15" w:line="361" w:lineRule="auto"/>
        <w:ind w:left="355" w:right="0"/>
        <w:rPr>
          <w:szCs w:val="24"/>
        </w:rPr>
      </w:pPr>
      <w:r>
        <w:rPr>
          <w:szCs w:val="24"/>
        </w:rPr>
        <w:t xml:space="preserve">La aprobación de los trabajos para el Congreso estará sujeta al cumplimiento de </w:t>
      </w:r>
      <w:r>
        <w:rPr>
          <w:b/>
          <w:szCs w:val="24"/>
        </w:rPr>
        <w:t>indicadores de rigor científico</w:t>
      </w:r>
      <w:r>
        <w:rPr>
          <w:szCs w:val="24"/>
        </w:rPr>
        <w:t xml:space="preserve"> que son: </w:t>
      </w:r>
    </w:p>
    <w:p w14:paraId="6470883A" w14:textId="77777777" w:rsidR="008B3451" w:rsidRDefault="00E22F6C">
      <w:pPr>
        <w:numPr>
          <w:ilvl w:val="0"/>
          <w:numId w:val="9"/>
        </w:numPr>
        <w:spacing w:after="81" w:line="240" w:lineRule="auto"/>
        <w:ind w:right="0" w:hanging="360"/>
        <w:rPr>
          <w:szCs w:val="24"/>
        </w:rPr>
      </w:pPr>
      <w:r>
        <w:rPr>
          <w:szCs w:val="24"/>
        </w:rPr>
        <w:t>Que responda a un tema de la actualidad reconocida por la com</w:t>
      </w:r>
      <w:r>
        <w:rPr>
          <w:szCs w:val="24"/>
        </w:rPr>
        <w:t xml:space="preserve">unidad científica. </w:t>
      </w:r>
    </w:p>
    <w:p w14:paraId="4C271839" w14:textId="77777777" w:rsidR="008B3451" w:rsidRDefault="00E22F6C">
      <w:pPr>
        <w:pStyle w:val="ListParagraph32ce5fc3-9e2d-4dc6-9d8d-6c366ad093d4"/>
        <w:numPr>
          <w:ilvl w:val="0"/>
          <w:numId w:val="9"/>
        </w:numPr>
        <w:spacing w:after="0" w:line="240" w:lineRule="auto"/>
        <w:ind w:hanging="360"/>
        <w:jc w:val="both"/>
        <w:rPr>
          <w:rFonts w:ascii="Arial" w:hAnsi="Arial" w:cs="Arial"/>
          <w:bCs/>
          <w:color w:val="000000"/>
          <w:sz w:val="24"/>
          <w:szCs w:val="24"/>
        </w:rPr>
      </w:pPr>
      <w:r>
        <w:rPr>
          <w:rFonts w:ascii="Arial" w:hAnsi="Arial" w:cs="Arial"/>
          <w:bCs/>
          <w:color w:val="000000"/>
          <w:sz w:val="24"/>
          <w:szCs w:val="24"/>
        </w:rPr>
        <w:t>Que responda a la visión general del Congreso.</w:t>
      </w:r>
    </w:p>
    <w:p w14:paraId="12D925EA" w14:textId="77777777" w:rsidR="008B3451" w:rsidRDefault="00E22F6C">
      <w:pPr>
        <w:numPr>
          <w:ilvl w:val="0"/>
          <w:numId w:val="9"/>
        </w:numPr>
        <w:spacing w:after="78" w:line="240" w:lineRule="auto"/>
        <w:ind w:right="0" w:hanging="360"/>
        <w:rPr>
          <w:szCs w:val="24"/>
        </w:rPr>
      </w:pPr>
      <w:r>
        <w:rPr>
          <w:szCs w:val="24"/>
        </w:rPr>
        <w:t xml:space="preserve">Uso de referencias bibliográficas de actualidad y de reconocidos autores sobre el tema. </w:t>
      </w:r>
    </w:p>
    <w:p w14:paraId="2F90485E" w14:textId="77777777" w:rsidR="008B3451" w:rsidRDefault="00E22F6C">
      <w:pPr>
        <w:numPr>
          <w:ilvl w:val="0"/>
          <w:numId w:val="9"/>
        </w:numPr>
        <w:spacing w:after="78" w:line="240" w:lineRule="auto"/>
        <w:ind w:right="0" w:hanging="360"/>
        <w:rPr>
          <w:szCs w:val="24"/>
        </w:rPr>
      </w:pPr>
      <w:r>
        <w:rPr>
          <w:szCs w:val="24"/>
        </w:rPr>
        <w:t xml:space="preserve">Uso de un lenguaje claro, preciso y utilizando conocimientos científicos.  </w:t>
      </w:r>
    </w:p>
    <w:p w14:paraId="4D350721" w14:textId="77777777" w:rsidR="008B3451" w:rsidRDefault="00E22F6C">
      <w:pPr>
        <w:numPr>
          <w:ilvl w:val="0"/>
          <w:numId w:val="9"/>
        </w:numPr>
        <w:spacing w:line="240" w:lineRule="auto"/>
        <w:ind w:right="0" w:hanging="360"/>
        <w:rPr>
          <w:szCs w:val="24"/>
        </w:rPr>
      </w:pPr>
      <w:r>
        <w:rPr>
          <w:szCs w:val="24"/>
        </w:rPr>
        <w:t>Contribución del trabajo</w:t>
      </w:r>
      <w:r>
        <w:rPr>
          <w:szCs w:val="24"/>
        </w:rPr>
        <w:t xml:space="preserve"> al enriquecimiento de la teoría y la práctica en el campo de la educación universitaria. </w:t>
      </w:r>
    </w:p>
    <w:sectPr w:rsidR="008B3451">
      <w:headerReference w:type="even" r:id="rId9"/>
      <w:headerReference w:type="default" r:id="rId10"/>
      <w:footerReference w:type="even" r:id="rId11"/>
      <w:footerReference w:type="default" r:id="rId12"/>
      <w:headerReference w:type="first" r:id="rId13"/>
      <w:pgSz w:w="12240" w:h="15840"/>
      <w:pgMar w:top="2315" w:right="1130" w:bottom="1281" w:left="852" w:header="11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F8277" w14:textId="77777777" w:rsidR="00E22F6C" w:rsidRDefault="00E22F6C">
      <w:pPr>
        <w:spacing w:after="0" w:line="240" w:lineRule="auto"/>
      </w:pPr>
      <w:r>
        <w:separator/>
      </w:r>
    </w:p>
  </w:endnote>
  <w:endnote w:type="continuationSeparator" w:id="0">
    <w:p w14:paraId="320CE7DD" w14:textId="77777777" w:rsidR="00E22F6C" w:rsidRDefault="00E2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E17C" w14:textId="77777777" w:rsidR="008B3451" w:rsidRDefault="00E22F6C">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8C83E65" w14:textId="77777777" w:rsidR="008B3451" w:rsidRDefault="00E22F6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2C419" w14:textId="4521C1A3" w:rsidR="008B3451" w:rsidRDefault="00E22F6C">
    <w:pPr>
      <w:spacing w:after="0" w:line="259" w:lineRule="auto"/>
      <w:ind w:left="0" w:right="-1" w:firstLine="0"/>
      <w:jc w:val="right"/>
    </w:pPr>
    <w:r>
      <w:fldChar w:fldCharType="begin"/>
    </w:r>
    <w:r>
      <w:instrText xml:space="preserve"> PAGE   \* MERGEFORMAT </w:instrText>
    </w:r>
    <w:r>
      <w:fldChar w:fldCharType="separate"/>
    </w:r>
    <w:r w:rsidR="006A5D50" w:rsidRPr="006A5D50">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14:paraId="0319D11F" w14:textId="77777777" w:rsidR="008B3451" w:rsidRDefault="00E22F6C">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noProof/>
        <w:sz w:val="22"/>
        <w:lang w:val="es-ES" w:eastAsia="es-ES"/>
      </w:rPr>
      <w:drawing>
        <wp:inline distT="0" distB="0" distL="0" distR="0" wp14:anchorId="154543BB" wp14:editId="1D441774">
          <wp:extent cx="6591300" cy="314325"/>
          <wp:effectExtent l="0" t="0" r="0" b="9525"/>
          <wp:docPr id="409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srcRect/>
                  <a:stretch/>
                </pic:blipFill>
                <pic:spPr>
                  <a:xfrm>
                    <a:off x="0" y="0"/>
                    <a:ext cx="6591300" cy="3143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13BD4" w14:textId="77777777" w:rsidR="00E22F6C" w:rsidRDefault="00E22F6C">
      <w:pPr>
        <w:spacing w:after="0" w:line="240" w:lineRule="auto"/>
      </w:pPr>
      <w:r>
        <w:separator/>
      </w:r>
    </w:p>
  </w:footnote>
  <w:footnote w:type="continuationSeparator" w:id="0">
    <w:p w14:paraId="72C416A1" w14:textId="77777777" w:rsidR="00E22F6C" w:rsidRDefault="00E2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0E3A" w14:textId="77777777" w:rsidR="008B3451" w:rsidRDefault="00E22F6C">
    <w:pPr>
      <w:spacing w:after="0" w:line="259" w:lineRule="auto"/>
      <w:ind w:left="-1" w:right="-406" w:firstLine="0"/>
      <w:jc w:val="right"/>
    </w:pPr>
    <w:r>
      <w:rPr>
        <w:noProof/>
        <w:lang w:val="es-ES" w:eastAsia="es-ES"/>
      </w:rPr>
      <w:drawing>
        <wp:anchor distT="0" distB="0" distL="114300" distR="114300" simplePos="0" relativeHeight="2" behindDoc="0" locked="0" layoutInCell="1" allowOverlap="0" wp14:anchorId="45C86C15" wp14:editId="34E73B05">
          <wp:simplePos x="0" y="0"/>
          <wp:positionH relativeFrom="page">
            <wp:posOffset>540385</wp:posOffset>
          </wp:positionH>
          <wp:positionV relativeFrom="page">
            <wp:posOffset>71755</wp:posOffset>
          </wp:positionV>
          <wp:extent cx="6731000" cy="1225550"/>
          <wp:effectExtent l="0" t="0" r="0" b="0"/>
          <wp:wrapSquare wrapText="bothSides"/>
          <wp:docPr id="4097"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cstate="print"/>
                  <a:srcRect/>
                  <a:stretch/>
                </pic:blipFill>
                <pic:spPr>
                  <a:xfrm>
                    <a:off x="0" y="0"/>
                    <a:ext cx="6731000" cy="1225550"/>
                  </a:xfrm>
                  <a:prstGeom prst="rect">
                    <a:avLst/>
                  </a:prstGeom>
                </pic:spPr>
              </pic:pic>
            </a:graphicData>
          </a:graphic>
        </wp:anchor>
      </w:drawing>
    </w:r>
    <w:r>
      <w:rPr>
        <w:rFonts w:ascii="Calibri" w:eastAsia="Calibri" w:hAnsi="Calibri" w:cs="Calibri"/>
        <w:sz w:val="28"/>
      </w:rPr>
      <w:t xml:space="preserve"> </w:t>
    </w:r>
  </w:p>
  <w:p w14:paraId="249C8989" w14:textId="77777777" w:rsidR="008B3451" w:rsidRDefault="00E22F6C">
    <w:pPr>
      <w:spacing w:after="0" w:line="259" w:lineRule="auto"/>
      <w:ind w:left="0" w:right="289" w:firstLine="0"/>
      <w:jc w:val="center"/>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0DAED" w14:textId="77777777" w:rsidR="008B3451" w:rsidRDefault="00E22F6C">
    <w:pPr>
      <w:spacing w:after="0" w:line="259" w:lineRule="auto"/>
      <w:ind w:left="-1" w:right="-406" w:firstLine="0"/>
      <w:jc w:val="right"/>
    </w:pPr>
    <w:r>
      <w:rPr>
        <w:rFonts w:ascii="Calibri" w:eastAsia="Calibri" w:hAnsi="Calibri" w:cs="Calibri"/>
        <w:sz w:val="28"/>
      </w:rPr>
      <w:t xml:space="preserve"> </w:t>
    </w:r>
  </w:p>
  <w:tbl>
    <w:tblPr>
      <w:tblW w:w="10176" w:type="dxa"/>
      <w:tblInd w:w="-572" w:type="dxa"/>
      <w:tblLayout w:type="fixed"/>
      <w:tblLook w:val="04A0" w:firstRow="1" w:lastRow="0" w:firstColumn="1" w:lastColumn="0" w:noHBand="0" w:noVBand="1"/>
    </w:tblPr>
    <w:tblGrid>
      <w:gridCol w:w="3283"/>
      <w:gridCol w:w="6893"/>
    </w:tblGrid>
    <w:tr w:rsidR="008B3451" w14:paraId="45A1BEAE" w14:textId="77777777">
      <w:trPr>
        <w:trHeight w:val="625"/>
      </w:trPr>
      <w:tc>
        <w:tcPr>
          <w:tcW w:w="3283" w:type="dxa"/>
          <w:shd w:val="clear" w:color="auto" w:fill="auto"/>
        </w:tcPr>
        <w:p w14:paraId="71FBA8E3" w14:textId="77777777" w:rsidR="008B3451" w:rsidRDefault="00E22F6C">
          <w:pPr>
            <w:pStyle w:val="Encabezado"/>
            <w:rPr>
              <w:lang w:eastAsia="zh-CN" w:bidi="zh-CN"/>
            </w:rPr>
          </w:pPr>
          <w:r>
            <w:rPr>
              <w:noProof/>
            </w:rPr>
            <w:drawing>
              <wp:inline distT="0" distB="0" distL="0" distR="0" wp14:anchorId="25CFFD0B" wp14:editId="372B5AC0">
                <wp:extent cx="1871345" cy="554990"/>
                <wp:effectExtent l="0" t="0" r="0" b="0"/>
                <wp:docPr id="409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cstate="print"/>
                        <a:srcRect/>
                        <a:stretch/>
                      </pic:blipFill>
                      <pic:spPr>
                        <a:xfrm>
                          <a:off x="0" y="0"/>
                          <a:ext cx="1871345" cy="554990"/>
                        </a:xfrm>
                        <a:prstGeom prst="rect">
                          <a:avLst/>
                        </a:prstGeom>
                        <a:ln>
                          <a:noFill/>
                        </a:ln>
                      </pic:spPr>
                    </pic:pic>
                  </a:graphicData>
                </a:graphic>
              </wp:inline>
            </w:drawing>
          </w:r>
        </w:p>
      </w:tc>
      <w:tc>
        <w:tcPr>
          <w:tcW w:w="6893" w:type="dxa"/>
          <w:shd w:val="clear" w:color="auto" w:fill="auto"/>
        </w:tcPr>
        <w:p w14:paraId="5E8AF0CB" w14:textId="77777777" w:rsidR="008B3451" w:rsidRDefault="00E22F6C">
          <w:pPr>
            <w:pStyle w:val="Encabezado"/>
            <w:jc w:val="center"/>
            <w:rPr>
              <w:b/>
              <w:i/>
              <w:color w:val="002060"/>
              <w:lang w:eastAsia="zh-CN" w:bidi="zh-CN"/>
            </w:rPr>
          </w:pPr>
          <w:r>
            <w:rPr>
              <w:b/>
              <w:i/>
              <w:color w:val="002060"/>
              <w:lang w:eastAsia="zh-CN" w:bidi="zh-CN"/>
            </w:rPr>
            <w:t>Congreso Internacional de Educación Superior “Universidad 2026”</w:t>
          </w:r>
        </w:p>
        <w:p w14:paraId="13447DFB" w14:textId="77777777" w:rsidR="008B3451" w:rsidRDefault="00E22F6C">
          <w:pPr>
            <w:pStyle w:val="Encabezado"/>
            <w:jc w:val="center"/>
            <w:rPr>
              <w:lang w:eastAsia="zh-CN" w:bidi="zh-CN"/>
            </w:rPr>
          </w:pPr>
          <w:r>
            <w:rPr>
              <w:b/>
              <w:i/>
              <w:color w:val="002060"/>
              <w:lang w:eastAsia="zh-CN" w:bidi="zh-CN"/>
            </w:rPr>
            <w:t>15</w:t>
          </w:r>
          <w:r>
            <w:rPr>
              <w:b/>
              <w:i/>
              <w:color w:val="002060"/>
              <w:vertAlign w:val="superscript"/>
              <w:lang w:eastAsia="zh-CN" w:bidi="zh-CN"/>
            </w:rPr>
            <w:t>to.</w:t>
          </w:r>
          <w:r>
            <w:rPr>
              <w:b/>
              <w:i/>
              <w:color w:val="002060"/>
              <w:lang w:eastAsia="zh-CN" w:bidi="zh-CN"/>
            </w:rPr>
            <w:t xml:space="preserve"> Congreso Internacional del 9 al 13 de febrero del 2026</w:t>
          </w:r>
        </w:p>
      </w:tc>
    </w:tr>
  </w:tbl>
  <w:p w14:paraId="691CF166" w14:textId="77777777" w:rsidR="008B3451" w:rsidRDefault="00E22F6C">
    <w:pPr>
      <w:spacing w:after="0" w:line="259" w:lineRule="auto"/>
      <w:ind w:left="0" w:right="289" w:firstLine="0"/>
      <w:jc w:val="center"/>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BD80C" w14:textId="77777777" w:rsidR="008B3451" w:rsidRDefault="00E22F6C">
    <w:pPr>
      <w:spacing w:after="0" w:line="259" w:lineRule="auto"/>
      <w:ind w:left="-1" w:right="-406" w:firstLine="0"/>
      <w:jc w:val="right"/>
    </w:pPr>
    <w:r>
      <w:rPr>
        <w:noProof/>
        <w:lang w:val="es-ES" w:eastAsia="es-ES"/>
      </w:rPr>
      <w:drawing>
        <wp:anchor distT="0" distB="0" distL="114300" distR="114300" simplePos="0" relativeHeight="3" behindDoc="0" locked="0" layoutInCell="1" allowOverlap="0" wp14:anchorId="584491A9" wp14:editId="5994D609">
          <wp:simplePos x="0" y="0"/>
          <wp:positionH relativeFrom="page">
            <wp:posOffset>540385</wp:posOffset>
          </wp:positionH>
          <wp:positionV relativeFrom="page">
            <wp:posOffset>71755</wp:posOffset>
          </wp:positionV>
          <wp:extent cx="6731000" cy="1225550"/>
          <wp:effectExtent l="0" t="0" r="0" b="0"/>
          <wp:wrapSquare wrapText="bothSides"/>
          <wp:docPr id="4100"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cstate="print"/>
                  <a:srcRect/>
                  <a:stretch/>
                </pic:blipFill>
                <pic:spPr>
                  <a:xfrm>
                    <a:off x="0" y="0"/>
                    <a:ext cx="6731000" cy="1225550"/>
                  </a:xfrm>
                  <a:prstGeom prst="rect">
                    <a:avLst/>
                  </a:prstGeom>
                </pic:spPr>
              </pic:pic>
            </a:graphicData>
          </a:graphic>
        </wp:anchor>
      </w:drawing>
    </w:r>
    <w:r>
      <w:rPr>
        <w:rFonts w:ascii="Calibri" w:eastAsia="Calibri" w:hAnsi="Calibri" w:cs="Calibri"/>
        <w:sz w:val="28"/>
      </w:rPr>
      <w:t xml:space="preserve"> </w:t>
    </w:r>
  </w:p>
  <w:p w14:paraId="3CFC3E91" w14:textId="77777777" w:rsidR="008B3451" w:rsidRDefault="00E22F6C">
    <w:pPr>
      <w:spacing w:after="0" w:line="259" w:lineRule="auto"/>
      <w:ind w:left="0" w:right="289" w:firstLine="0"/>
      <w:jc w:val="center"/>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7FA6B1D"/>
    <w:lvl w:ilvl="0" w:tentative="1">
      <w:start w:val="1"/>
      <w:numFmt w:val="bullet"/>
      <w:lvlText w:val=""/>
      <w:lvlJc w:val="left"/>
      <w:pPr>
        <w:ind w:left="371" w:hanging="360"/>
      </w:pPr>
      <w:rPr>
        <w:rFonts w:ascii="Symbol" w:hAnsi="Symbol" w:hint="default"/>
      </w:rPr>
    </w:lvl>
    <w:lvl w:ilvl="1">
      <w:start w:val="1"/>
      <w:numFmt w:val="bullet"/>
      <w:lvlText w:val=""/>
      <w:lvlJc w:val="left"/>
      <w:pPr>
        <w:ind w:left="8157" w:hanging="360"/>
      </w:pPr>
      <w:rPr>
        <w:rFonts w:ascii="Wingdings" w:hAnsi="Wingdings" w:hint="default"/>
      </w:rPr>
    </w:lvl>
    <w:lvl w:ilvl="2" w:tentative="1">
      <w:numFmt w:val="bullet"/>
      <w:lvlText w:val="•"/>
      <w:lvlJc w:val="left"/>
      <w:pPr>
        <w:ind w:left="2156" w:hanging="705"/>
      </w:pPr>
      <w:rPr>
        <w:rFonts w:ascii="Arial" w:eastAsia="Calibri" w:hAnsi="Arial" w:cs="Arial" w:hint="default"/>
      </w:rPr>
    </w:lvl>
    <w:lvl w:ilvl="3" w:tentative="1">
      <w:start w:val="1"/>
      <w:numFmt w:val="bullet"/>
      <w:lvlText w:val=""/>
      <w:lvlJc w:val="left"/>
      <w:pPr>
        <w:ind w:left="2531" w:hanging="360"/>
      </w:pPr>
      <w:rPr>
        <w:rFonts w:ascii="Symbol" w:hAnsi="Symbol" w:hint="default"/>
      </w:rPr>
    </w:lvl>
    <w:lvl w:ilvl="4" w:tentative="1">
      <w:start w:val="1"/>
      <w:numFmt w:val="bullet"/>
      <w:lvlText w:val="o"/>
      <w:lvlJc w:val="left"/>
      <w:pPr>
        <w:ind w:left="3251" w:hanging="360"/>
      </w:pPr>
      <w:rPr>
        <w:rFonts w:ascii="Courier New" w:hAnsi="Courier New" w:cs="Courier New" w:hint="default"/>
      </w:rPr>
    </w:lvl>
    <w:lvl w:ilvl="5" w:tentative="1">
      <w:start w:val="1"/>
      <w:numFmt w:val="bullet"/>
      <w:lvlText w:val=""/>
      <w:lvlJc w:val="left"/>
      <w:pPr>
        <w:ind w:left="3971" w:hanging="360"/>
      </w:pPr>
      <w:rPr>
        <w:rFonts w:ascii="Wingdings" w:hAnsi="Wingdings" w:hint="default"/>
      </w:rPr>
    </w:lvl>
    <w:lvl w:ilvl="6" w:tentative="1">
      <w:start w:val="1"/>
      <w:numFmt w:val="bullet"/>
      <w:lvlText w:val=""/>
      <w:lvlJc w:val="left"/>
      <w:pPr>
        <w:ind w:left="4691" w:hanging="360"/>
      </w:pPr>
      <w:rPr>
        <w:rFonts w:ascii="Symbol" w:hAnsi="Symbol" w:hint="default"/>
      </w:rPr>
    </w:lvl>
    <w:lvl w:ilvl="7" w:tentative="1">
      <w:start w:val="1"/>
      <w:numFmt w:val="bullet"/>
      <w:lvlText w:val="o"/>
      <w:lvlJc w:val="left"/>
      <w:pPr>
        <w:ind w:left="5411" w:hanging="360"/>
      </w:pPr>
      <w:rPr>
        <w:rFonts w:ascii="Courier New" w:hAnsi="Courier New" w:cs="Courier New" w:hint="default"/>
      </w:rPr>
    </w:lvl>
    <w:lvl w:ilvl="8" w:tentative="1">
      <w:start w:val="1"/>
      <w:numFmt w:val="bullet"/>
      <w:lvlText w:val=""/>
      <w:lvlJc w:val="left"/>
      <w:pPr>
        <w:ind w:left="6131" w:hanging="360"/>
      </w:pPr>
      <w:rPr>
        <w:rFonts w:ascii="Wingdings" w:hAnsi="Wingdings" w:hint="default"/>
      </w:rPr>
    </w:lvl>
  </w:abstractNum>
  <w:abstractNum w:abstractNumId="1" w15:restartNumberingAfterBreak="0">
    <w:nsid w:val="00000002"/>
    <w:multiLevelType w:val="multilevel"/>
    <w:tmpl w:val="6C914688"/>
    <w:lvl w:ilvl="0">
      <w:start w:val="1"/>
      <w:numFmt w:val="bullet"/>
      <w:lvlText w:val="•"/>
      <w:lvlJc w:val="left"/>
      <w:pPr>
        <w:ind w:left="705"/>
      </w:pPr>
      <w:rPr>
        <w:rFonts w:ascii="Arial" w:eastAsia="Arial" w:hAnsi="Arial" w:cs="Arial"/>
        <w:b w:val="0"/>
        <w:i w:val="0"/>
        <w:color w:val="000000"/>
        <w:sz w:val="24"/>
        <w:szCs w:val="24"/>
        <w:u w:val="none" w:color="000000"/>
        <w:shd w:val="clear" w:color="auto" w:fill="auto"/>
        <w:vertAlign w:val="baseline"/>
      </w:rPr>
    </w:lvl>
    <w:lvl w:ilvl="1" w:tentative="1">
      <w:start w:val="1"/>
      <w:numFmt w:val="bullet"/>
      <w:lvlText w:val="o"/>
      <w:lvlJc w:val="left"/>
      <w:pPr>
        <w:ind w:left="1440"/>
      </w:pPr>
      <w:rPr>
        <w:rFonts w:ascii="Segoe UI Symbol" w:eastAsia="Segoe UI Symbol" w:hAnsi="Segoe UI Symbol" w:cs="Segoe UI Symbol"/>
        <w:b w:val="0"/>
        <w:i w:val="0"/>
        <w:color w:val="000000"/>
        <w:sz w:val="24"/>
        <w:szCs w:val="24"/>
        <w:u w:val="none" w:color="000000"/>
        <w:shd w:val="clear" w:color="auto" w:fill="auto"/>
        <w:vertAlign w:val="baseline"/>
      </w:rPr>
    </w:lvl>
    <w:lvl w:ilvl="2" w:tentative="1">
      <w:start w:val="1"/>
      <w:numFmt w:val="bullet"/>
      <w:lvlText w:val="▪"/>
      <w:lvlJc w:val="left"/>
      <w:pPr>
        <w:ind w:left="2160"/>
      </w:pPr>
      <w:rPr>
        <w:rFonts w:ascii="Segoe UI Symbol" w:eastAsia="Segoe UI Symbol" w:hAnsi="Segoe UI Symbol" w:cs="Segoe UI Symbol"/>
        <w:b w:val="0"/>
        <w:i w:val="0"/>
        <w:color w:val="000000"/>
        <w:sz w:val="24"/>
        <w:szCs w:val="24"/>
        <w:u w:val="none" w:color="000000"/>
        <w:shd w:val="clear" w:color="auto" w:fill="auto"/>
        <w:vertAlign w:val="baseline"/>
      </w:rPr>
    </w:lvl>
    <w:lvl w:ilvl="3" w:tentative="1">
      <w:start w:val="1"/>
      <w:numFmt w:val="bullet"/>
      <w:lvlText w:val="•"/>
      <w:lvlJc w:val="left"/>
      <w:pPr>
        <w:ind w:left="2880"/>
      </w:pPr>
      <w:rPr>
        <w:rFonts w:ascii="Arial" w:eastAsia="Arial" w:hAnsi="Arial" w:cs="Arial"/>
        <w:b w:val="0"/>
        <w:i w:val="0"/>
        <w:color w:val="000000"/>
        <w:sz w:val="24"/>
        <w:szCs w:val="24"/>
        <w:u w:val="none" w:color="000000"/>
        <w:shd w:val="clear" w:color="auto" w:fill="auto"/>
        <w:vertAlign w:val="baseline"/>
      </w:rPr>
    </w:lvl>
    <w:lvl w:ilvl="4" w:tentative="1">
      <w:start w:val="1"/>
      <w:numFmt w:val="bullet"/>
      <w:lvlText w:val="o"/>
      <w:lvlJc w:val="left"/>
      <w:pPr>
        <w:ind w:left="3600"/>
      </w:pPr>
      <w:rPr>
        <w:rFonts w:ascii="Segoe UI Symbol" w:eastAsia="Segoe UI Symbol" w:hAnsi="Segoe UI Symbol" w:cs="Segoe UI Symbol"/>
        <w:b w:val="0"/>
        <w:i w:val="0"/>
        <w:color w:val="000000"/>
        <w:sz w:val="24"/>
        <w:szCs w:val="24"/>
        <w:u w:val="none" w:color="000000"/>
        <w:shd w:val="clear" w:color="auto" w:fill="auto"/>
        <w:vertAlign w:val="baseline"/>
      </w:rPr>
    </w:lvl>
    <w:lvl w:ilvl="5" w:tentative="1">
      <w:start w:val="1"/>
      <w:numFmt w:val="bullet"/>
      <w:lvlText w:val="▪"/>
      <w:lvlJc w:val="left"/>
      <w:pPr>
        <w:ind w:left="4320"/>
      </w:pPr>
      <w:rPr>
        <w:rFonts w:ascii="Segoe UI Symbol" w:eastAsia="Segoe UI Symbol" w:hAnsi="Segoe UI Symbol" w:cs="Segoe UI Symbol"/>
        <w:b w:val="0"/>
        <w:i w:val="0"/>
        <w:color w:val="000000"/>
        <w:sz w:val="24"/>
        <w:szCs w:val="24"/>
        <w:u w:val="none" w:color="000000"/>
        <w:shd w:val="clear" w:color="auto" w:fill="auto"/>
        <w:vertAlign w:val="baseline"/>
      </w:rPr>
    </w:lvl>
    <w:lvl w:ilvl="6" w:tentative="1">
      <w:start w:val="1"/>
      <w:numFmt w:val="bullet"/>
      <w:lvlText w:val="•"/>
      <w:lvlJc w:val="left"/>
      <w:pPr>
        <w:ind w:left="5040"/>
      </w:pPr>
      <w:rPr>
        <w:rFonts w:ascii="Arial" w:eastAsia="Arial" w:hAnsi="Arial" w:cs="Arial"/>
        <w:b w:val="0"/>
        <w:i w:val="0"/>
        <w:color w:val="000000"/>
        <w:sz w:val="24"/>
        <w:szCs w:val="24"/>
        <w:u w:val="none" w:color="000000"/>
        <w:shd w:val="clear" w:color="auto" w:fill="auto"/>
        <w:vertAlign w:val="baseline"/>
      </w:rPr>
    </w:lvl>
    <w:lvl w:ilvl="7" w:tentative="1">
      <w:start w:val="1"/>
      <w:numFmt w:val="bullet"/>
      <w:lvlText w:val="o"/>
      <w:lvlJc w:val="left"/>
      <w:pPr>
        <w:ind w:left="5760"/>
      </w:pPr>
      <w:rPr>
        <w:rFonts w:ascii="Segoe UI Symbol" w:eastAsia="Segoe UI Symbol" w:hAnsi="Segoe UI Symbol" w:cs="Segoe UI Symbol"/>
        <w:b w:val="0"/>
        <w:i w:val="0"/>
        <w:color w:val="000000"/>
        <w:sz w:val="24"/>
        <w:szCs w:val="24"/>
        <w:u w:val="none" w:color="000000"/>
        <w:shd w:val="clear" w:color="auto" w:fill="auto"/>
        <w:vertAlign w:val="baseline"/>
      </w:rPr>
    </w:lvl>
    <w:lvl w:ilvl="8" w:tentative="1">
      <w:start w:val="1"/>
      <w:numFmt w:val="bullet"/>
      <w:lvlText w:val="▪"/>
      <w:lvlJc w:val="left"/>
      <w:pPr>
        <w:ind w:left="6480"/>
      </w:pPr>
      <w:rPr>
        <w:rFonts w:ascii="Segoe UI Symbol" w:eastAsia="Segoe UI Symbol" w:hAnsi="Segoe UI Symbol" w:cs="Segoe UI Symbol"/>
        <w:b w:val="0"/>
        <w:i w:val="0"/>
        <w:color w:val="000000"/>
        <w:sz w:val="24"/>
        <w:szCs w:val="24"/>
        <w:u w:val="none" w:color="000000"/>
        <w:shd w:val="clear" w:color="auto" w:fill="auto"/>
        <w:vertAlign w:val="baseline"/>
      </w:rPr>
    </w:lvl>
  </w:abstractNum>
  <w:abstractNum w:abstractNumId="2" w15:restartNumberingAfterBreak="0">
    <w:nsid w:val="00000003"/>
    <w:multiLevelType w:val="multilevel"/>
    <w:tmpl w:val="534F4110"/>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multilevel"/>
    <w:tmpl w:val="68F259E2"/>
    <w:lvl w:ilvl="0" w:tentative="1">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5"/>
    <w:multiLevelType w:val="multilevel"/>
    <w:tmpl w:val="151C7DA8"/>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multilevel"/>
    <w:tmpl w:val="3FB41740"/>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multilevel"/>
    <w:tmpl w:val="12FD22D1"/>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multilevel"/>
    <w:tmpl w:val="13CB1490"/>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1512716"/>
    <w:multiLevelType w:val="multilevel"/>
    <w:tmpl w:val="183909A6"/>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51"/>
    <w:rsid w:val="00531C84"/>
    <w:rsid w:val="006A5D50"/>
    <w:rsid w:val="006D6F02"/>
    <w:rsid w:val="0073105F"/>
    <w:rsid w:val="0088170D"/>
    <w:rsid w:val="008B3451"/>
    <w:rsid w:val="00E22F6C"/>
    <w:rsid w:val="00F576B4"/>
    <w:rsid w:val="00FA574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081A"/>
  <w15:docId w15:val="{85BAFDE4-BD17-44E4-93E5-1FB917E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SimSun"/>
        <w:lang w:val="es-CU" w:eastAsia="es-C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0" w:line="269" w:lineRule="auto"/>
      <w:ind w:left="10" w:right="3" w:hanging="10"/>
      <w:jc w:val="both"/>
    </w:pPr>
    <w:rPr>
      <w:rFonts w:ascii="Arial" w:eastAsia="Arial" w:hAnsi="Arial" w:cs="Arial"/>
      <w:color w:val="000000"/>
      <w:sz w:val="24"/>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paragraph" w:styleId="Encabezado">
    <w:name w:val="header"/>
    <w:basedOn w:val="Normal"/>
    <w:link w:val="EncabezadoCar"/>
    <w:pPr>
      <w:tabs>
        <w:tab w:val="center" w:pos="4680"/>
        <w:tab w:val="right" w:pos="9360"/>
      </w:tabs>
      <w:spacing w:after="0" w:line="240" w:lineRule="auto"/>
      <w:ind w:left="0" w:right="0" w:firstLine="0"/>
      <w:jc w:val="left"/>
    </w:pPr>
    <w:rPr>
      <w:rFonts w:ascii="Calibri" w:eastAsia="Calibri" w:hAnsi="Calibri" w:cs="Calibri"/>
      <w:color w:val="auto"/>
      <w:sz w:val="22"/>
      <w:lang w:val="es-ES" w:eastAsia="es-ES"/>
    </w:rPr>
  </w:style>
  <w:style w:type="paragraph" w:styleId="NormalWeb">
    <w:name w:val="Normal (Web)"/>
    <w:basedOn w:val="Normal"/>
    <w:uiPriority w:val="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ncabezadoCar">
    <w:name w:val="Encabezado Car"/>
    <w:basedOn w:val="Fuentedeprrafopredeter"/>
    <w:link w:val="Encabezado"/>
    <w:rPr>
      <w:rFonts w:ascii="Calibri" w:eastAsia="Calibri" w:hAnsi="Calibri" w:cs="Calibri"/>
      <w:lang w:val="es-ES" w:eastAsia="es-ES"/>
    </w:rPr>
  </w:style>
  <w:style w:type="paragraph" w:customStyle="1" w:styleId="ListParagraph32ce5fc3-9e2d-4dc6-9d8d-6c366ad093d4">
    <w:name w:val="List Paragraph_32ce5fc3-9e2d-4dc6-9d8d-6c366ad093d4"/>
    <w:basedOn w:val="Normal"/>
    <w:uiPriority w:val="34"/>
    <w:qFormat/>
    <w:pPr>
      <w:spacing w:after="160" w:line="259" w:lineRule="auto"/>
      <w:ind w:left="720" w:right="0" w:firstLine="0"/>
      <w:contextualSpacing/>
      <w:jc w:val="left"/>
    </w:pPr>
    <w:rPr>
      <w:rFonts w:ascii="Calibri" w:eastAsia="Calibri" w:hAnsi="Calibri" w:cs="Times New Roman"/>
      <w:color w:val="auto"/>
      <w:sz w:val="22"/>
      <w:lang w:val="es-ES" w:eastAsia="en-US"/>
    </w:rPr>
  </w:style>
  <w:style w:type="character" w:customStyle="1" w:styleId="TextodegloboCar">
    <w:name w:val="Texto de globo Car"/>
    <w:basedOn w:val="Fuentedeprrafopredeter"/>
    <w:link w:val="Textodeglobo"/>
    <w:uiPriority w:val="99"/>
    <w:rPr>
      <w:rFonts w:ascii="Tahoma" w:eastAsia="Arial" w:hAnsi="Tahoma" w:cs="Tahoma"/>
      <w:color w:val="000000"/>
      <w:sz w:val="16"/>
      <w:szCs w:val="16"/>
    </w:rPr>
  </w:style>
  <w:style w:type="character" w:styleId="Hipervnculo">
    <w:name w:val="Hyperlink"/>
    <w:basedOn w:val="Fuentedeprrafopredeter"/>
    <w:uiPriority w:val="99"/>
    <w:unhideWhenUsed/>
    <w:rsid w:val="00531C84"/>
    <w:rPr>
      <w:color w:val="0000FF" w:themeColor="hyperlink"/>
      <w:u w:val="single"/>
    </w:rPr>
  </w:style>
  <w:style w:type="character" w:customStyle="1" w:styleId="UnresolvedMention">
    <w:name w:val="Unresolved Mention"/>
    <w:basedOn w:val="Fuentedeprrafopredeter"/>
    <w:uiPriority w:val="99"/>
    <w:semiHidden/>
    <w:unhideWhenUsed/>
    <w:rsid w:val="0053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ti@ucf.edu.c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6909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Árbitro</dc:creator>
  <cp:lastModifiedBy>Yamileisy YBC. Barrameda Castillo</cp:lastModifiedBy>
  <cp:revision>4</cp:revision>
  <dcterms:created xsi:type="dcterms:W3CDTF">2025-01-10T14:43:00Z</dcterms:created>
  <dcterms:modified xsi:type="dcterms:W3CDTF">2025-02-28T18:23:00Z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3082-10.1.0.5510</vt:lpwstr>
  </property>
  <property fmtid="{D5CDD505-2E9C-101B-9397-08002B2CF9AE}" pid="3" name="ICV">
    <vt:lpwstr>067a06d88d014f79bc6d3c9f3b6f5629</vt:lpwstr>
  </property>
</Properties>
</file>